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8"/>
        <w:ind w:firstLine="0"/>
        <w:rPr>
          <w:rFonts w:ascii="宋体" w:hAnsi="宋体"/>
          <w:b/>
          <w:sz w:val="52"/>
          <w:szCs w:val="52"/>
        </w:rPr>
      </w:pPr>
    </w:p>
    <w:p>
      <w:pPr>
        <w:pStyle w:val="58"/>
        <w:ind w:firstLine="0"/>
        <w:jc w:val="center"/>
        <w:rPr>
          <w:rFonts w:ascii="宋体" w:hAnsi="宋体"/>
          <w:b/>
          <w:sz w:val="52"/>
          <w:szCs w:val="52"/>
        </w:rPr>
      </w:pPr>
    </w:p>
    <w:p>
      <w:pPr>
        <w:pStyle w:val="58"/>
        <w:ind w:firstLine="0"/>
        <w:jc w:val="center"/>
        <w:rPr>
          <w:rFonts w:eastAsia="黑体"/>
          <w:b/>
          <w:bCs/>
          <w:sz w:val="84"/>
        </w:rPr>
      </w:pPr>
      <w:r>
        <w:rPr>
          <w:rFonts w:hint="eastAsia" w:eastAsia="黑体"/>
          <w:b/>
          <w:bCs/>
          <w:sz w:val="84"/>
        </w:rPr>
        <w:t xml:space="preserve"> 磋商文件</w:t>
      </w:r>
    </w:p>
    <w:p>
      <w:pPr>
        <w:pStyle w:val="58"/>
        <w:ind w:firstLine="0"/>
        <w:rPr>
          <w:rFonts w:ascii="宋体" w:hAnsi="宋体"/>
          <w:b/>
          <w:bCs/>
          <w:sz w:val="32"/>
          <w:szCs w:val="32"/>
        </w:rPr>
      </w:pPr>
    </w:p>
    <w:p>
      <w:pPr>
        <w:widowControl/>
        <w:shd w:val="clear" w:color="auto" w:fill="FFFFFF"/>
        <w:spacing w:line="360" w:lineRule="auto"/>
        <w:jc w:val="center"/>
        <w:rPr>
          <w:b/>
          <w:bCs/>
          <w:sz w:val="32"/>
        </w:rPr>
      </w:pPr>
      <w:r>
        <w:rPr>
          <w:b/>
          <w:bCs/>
          <w:sz w:val="32"/>
        </w:rPr>
        <w:t>项目名称：</w:t>
      </w:r>
      <w:r>
        <w:rPr>
          <w:rFonts w:hint="eastAsia"/>
          <w:b/>
          <w:bCs/>
          <w:sz w:val="32"/>
        </w:rPr>
        <w:t xml:space="preserve">南京工业职业技术大学天堂校区生活垃圾、 </w:t>
      </w:r>
    </w:p>
    <w:p>
      <w:pPr>
        <w:widowControl/>
        <w:shd w:val="clear" w:color="auto" w:fill="FFFFFF"/>
        <w:spacing w:line="360" w:lineRule="auto"/>
        <w:jc w:val="center"/>
        <w:rPr>
          <w:b/>
          <w:bCs/>
          <w:sz w:val="32"/>
        </w:rPr>
      </w:pPr>
      <w:r>
        <w:rPr>
          <w:rFonts w:hint="eastAsia"/>
          <w:b/>
          <w:bCs/>
          <w:sz w:val="32"/>
        </w:rPr>
        <w:t xml:space="preserve">   食堂泔水和废弃油脂清运服务项目</w:t>
      </w:r>
    </w:p>
    <w:p>
      <w:pPr>
        <w:pStyle w:val="58"/>
        <w:ind w:left="3534" w:hanging="3534" w:hangingChars="1100"/>
        <w:rPr>
          <w:b/>
          <w:bCs/>
          <w:sz w:val="32"/>
          <w:szCs w:val="32"/>
        </w:rPr>
      </w:pPr>
    </w:p>
    <w:p>
      <w:pPr>
        <w:pStyle w:val="58"/>
        <w:ind w:firstLine="0"/>
        <w:rPr>
          <w:b/>
          <w:bCs/>
          <w:sz w:val="32"/>
        </w:rPr>
      </w:pPr>
      <w:r>
        <w:rPr>
          <w:rFonts w:hint="eastAsia"/>
          <w:b/>
          <w:bCs/>
          <w:sz w:val="32"/>
        </w:rPr>
        <w:t xml:space="preserve">           项目编号：FW2020055X</w:t>
      </w:r>
    </w:p>
    <w:p>
      <w:pPr>
        <w:pStyle w:val="58"/>
        <w:ind w:firstLine="0"/>
        <w:jc w:val="center"/>
        <w:rPr>
          <w:b/>
          <w:bCs/>
          <w:sz w:val="32"/>
        </w:rPr>
      </w:pPr>
    </w:p>
    <w:p>
      <w:pPr>
        <w:pStyle w:val="58"/>
        <w:ind w:firstLine="0"/>
        <w:jc w:val="center"/>
        <w:rPr>
          <w:b/>
          <w:bCs/>
          <w:sz w:val="32"/>
        </w:rPr>
      </w:pPr>
    </w:p>
    <w:p>
      <w:pPr>
        <w:pStyle w:val="58"/>
        <w:ind w:firstLine="0"/>
        <w:jc w:val="center"/>
        <w:rPr>
          <w:b/>
          <w:bCs/>
          <w:sz w:val="32"/>
        </w:rPr>
      </w:pPr>
    </w:p>
    <w:p>
      <w:pPr>
        <w:pStyle w:val="58"/>
        <w:ind w:firstLine="0"/>
        <w:jc w:val="center"/>
        <w:rPr>
          <w:b/>
          <w:bCs/>
          <w:sz w:val="32"/>
        </w:rPr>
      </w:pPr>
    </w:p>
    <w:p>
      <w:pPr>
        <w:pStyle w:val="58"/>
        <w:ind w:firstLine="0"/>
        <w:jc w:val="center"/>
        <w:rPr>
          <w:b/>
          <w:bCs/>
          <w:sz w:val="32"/>
        </w:rPr>
      </w:pPr>
      <w:r>
        <w:rPr>
          <w:rFonts w:hint="eastAsia"/>
          <w:b/>
          <w:bCs/>
          <w:sz w:val="32"/>
        </w:rPr>
        <w:t>南京工业职业技术大学</w:t>
      </w:r>
    </w:p>
    <w:p>
      <w:pPr>
        <w:pStyle w:val="58"/>
        <w:ind w:firstLine="0"/>
        <w:jc w:val="center"/>
        <w:rPr>
          <w:b/>
          <w:bCs/>
          <w:sz w:val="32"/>
        </w:rPr>
      </w:pPr>
      <w:r>
        <w:rPr>
          <w:b/>
          <w:bCs/>
          <w:sz w:val="32"/>
        </w:rPr>
        <w:t>20</w:t>
      </w:r>
      <w:r>
        <w:rPr>
          <w:rFonts w:hint="eastAsia"/>
          <w:b/>
          <w:bCs/>
          <w:sz w:val="32"/>
        </w:rPr>
        <w:t>20</w:t>
      </w:r>
      <w:r>
        <w:rPr>
          <w:b/>
          <w:bCs/>
          <w:sz w:val="32"/>
        </w:rPr>
        <w:t>年</w:t>
      </w:r>
      <w:r>
        <w:rPr>
          <w:rFonts w:hint="eastAsia"/>
          <w:b/>
          <w:bCs/>
          <w:sz w:val="32"/>
        </w:rPr>
        <w:t>8月</w:t>
      </w:r>
    </w:p>
    <w:p>
      <w:pPr>
        <w:pStyle w:val="58"/>
        <w:ind w:firstLine="0"/>
        <w:jc w:val="center"/>
        <w:rPr>
          <w:b/>
          <w:bCs/>
          <w:color w:val="FF0000"/>
          <w:sz w:val="32"/>
        </w:rPr>
      </w:pPr>
    </w:p>
    <w:p>
      <w:pPr>
        <w:pStyle w:val="58"/>
        <w:ind w:firstLine="0"/>
        <w:jc w:val="center"/>
        <w:rPr>
          <w:b/>
          <w:bCs/>
          <w:color w:val="FF0000"/>
          <w:sz w:val="32"/>
        </w:rPr>
      </w:pPr>
    </w:p>
    <w:p>
      <w:pPr>
        <w:jc w:val="center"/>
        <w:rPr>
          <w:rFonts w:ascii="宋体" w:hAnsi="宋体"/>
          <w:b/>
          <w:color w:val="000000"/>
          <w:sz w:val="44"/>
          <w:szCs w:val="44"/>
        </w:rPr>
      </w:pPr>
    </w:p>
    <w:p>
      <w:pPr>
        <w:jc w:val="center"/>
        <w:rPr>
          <w:rFonts w:ascii="宋体" w:hAnsi="宋体"/>
          <w:b/>
          <w:color w:val="000000"/>
          <w:sz w:val="44"/>
          <w:szCs w:val="44"/>
        </w:rPr>
      </w:pPr>
    </w:p>
    <w:p>
      <w:pPr>
        <w:jc w:val="center"/>
        <w:rPr>
          <w:rFonts w:ascii="宋体" w:hAnsi="宋体"/>
          <w:b/>
          <w:color w:val="000000"/>
          <w:sz w:val="44"/>
          <w:szCs w:val="44"/>
        </w:rPr>
      </w:pPr>
      <w:r>
        <w:rPr>
          <w:rFonts w:ascii="宋体" w:hAnsi="宋体"/>
          <w:b/>
          <w:color w:val="000000"/>
          <w:sz w:val="44"/>
          <w:szCs w:val="44"/>
        </w:rPr>
        <w:br w:type="page"/>
      </w:r>
    </w:p>
    <w:p>
      <w:pPr>
        <w:spacing w:line="480" w:lineRule="auto"/>
        <w:jc w:val="center"/>
        <w:outlineLvl w:val="0"/>
        <w:rPr>
          <w:rFonts w:ascii="黑体" w:hAnsi="Arial" w:eastAsia="黑体"/>
          <w:b/>
          <w:sz w:val="44"/>
          <w:szCs w:val="21"/>
        </w:rPr>
      </w:pPr>
      <w:r>
        <w:rPr>
          <w:rFonts w:hint="eastAsia" w:ascii="黑体" w:hAnsi="Arial" w:eastAsia="黑体"/>
          <w:b/>
          <w:sz w:val="44"/>
          <w:szCs w:val="21"/>
        </w:rPr>
        <w:t>总 目 录</w:t>
      </w:r>
    </w:p>
    <w:p>
      <w:pPr>
        <w:pStyle w:val="24"/>
        <w:spacing w:line="360" w:lineRule="auto"/>
        <w:rPr>
          <w:rFonts w:ascii="宋体" w:hAnsi="宋体" w:eastAsia="宋体"/>
          <w:b w:val="0"/>
          <w:sz w:val="24"/>
          <w:szCs w:val="24"/>
        </w:rPr>
      </w:pPr>
    </w:p>
    <w:p>
      <w:pPr>
        <w:spacing w:line="560" w:lineRule="exact"/>
        <w:outlineLvl w:val="0"/>
        <w:rPr>
          <w:rFonts w:ascii="黑体" w:hAnsi="宋体" w:eastAsia="黑体"/>
          <w:sz w:val="36"/>
          <w:szCs w:val="21"/>
        </w:rPr>
      </w:pPr>
      <w:r>
        <w:rPr>
          <w:rFonts w:hint="eastAsia" w:ascii="黑体" w:hAnsi="宋体" w:eastAsia="黑体"/>
          <w:sz w:val="36"/>
          <w:szCs w:val="21"/>
        </w:rPr>
        <w:t>第一章    采购邀请</w:t>
      </w:r>
      <w:r>
        <w:rPr>
          <w:rFonts w:ascii="黑体" w:hAnsi="宋体" w:eastAsia="黑体"/>
          <w:sz w:val="36"/>
          <w:szCs w:val="21"/>
        </w:rPr>
        <w:t>…………………</w:t>
      </w:r>
      <w:r>
        <w:rPr>
          <w:rFonts w:hint="eastAsia" w:ascii="黑体" w:hAnsi="宋体" w:eastAsia="黑体"/>
          <w:sz w:val="36"/>
          <w:szCs w:val="21"/>
        </w:rPr>
        <w:t xml:space="preserve">                                          </w:t>
      </w:r>
    </w:p>
    <w:p>
      <w:pPr>
        <w:spacing w:line="560" w:lineRule="exact"/>
        <w:outlineLvl w:val="0"/>
        <w:rPr>
          <w:rFonts w:ascii="黑体" w:hAnsi="宋体" w:eastAsia="黑体"/>
          <w:sz w:val="36"/>
          <w:szCs w:val="21"/>
        </w:rPr>
      </w:pPr>
      <w:r>
        <w:rPr>
          <w:rFonts w:hint="eastAsia" w:ascii="黑体" w:hAnsi="宋体" w:eastAsia="黑体"/>
          <w:sz w:val="36"/>
          <w:szCs w:val="21"/>
        </w:rPr>
        <w:t>第二章    磋商须知</w:t>
      </w:r>
      <w:r>
        <w:rPr>
          <w:rFonts w:ascii="黑体" w:hAnsi="宋体" w:eastAsia="黑体"/>
          <w:sz w:val="36"/>
          <w:szCs w:val="21"/>
        </w:rPr>
        <w:t>……………</w:t>
      </w:r>
    </w:p>
    <w:p>
      <w:pPr>
        <w:spacing w:line="560" w:lineRule="exact"/>
        <w:outlineLvl w:val="0"/>
        <w:rPr>
          <w:rFonts w:ascii="黑体" w:hAnsi="宋体" w:eastAsia="黑体"/>
          <w:sz w:val="36"/>
          <w:szCs w:val="21"/>
        </w:rPr>
      </w:pPr>
      <w:r>
        <w:rPr>
          <w:rFonts w:hint="eastAsia" w:ascii="黑体" w:hAnsi="宋体" w:eastAsia="黑体"/>
          <w:sz w:val="36"/>
          <w:szCs w:val="21"/>
        </w:rPr>
        <w:t>第三章    合同条款及格式</w:t>
      </w:r>
      <w:r>
        <w:rPr>
          <w:rFonts w:ascii="黑体" w:hAnsi="宋体" w:eastAsia="黑体"/>
          <w:sz w:val="36"/>
          <w:szCs w:val="21"/>
        </w:rPr>
        <w:t>…………………</w:t>
      </w:r>
    </w:p>
    <w:p>
      <w:pPr>
        <w:spacing w:line="560" w:lineRule="exact"/>
        <w:outlineLvl w:val="0"/>
        <w:rPr>
          <w:rFonts w:ascii="黑体" w:hAnsi="宋体" w:eastAsia="黑体"/>
          <w:sz w:val="36"/>
          <w:szCs w:val="21"/>
        </w:rPr>
      </w:pPr>
      <w:r>
        <w:rPr>
          <w:rFonts w:hint="eastAsia" w:ascii="黑体" w:hAnsi="宋体" w:eastAsia="黑体"/>
          <w:sz w:val="36"/>
          <w:szCs w:val="21"/>
        </w:rPr>
        <w:t>第四章    项目需求</w:t>
      </w:r>
      <w:r>
        <w:rPr>
          <w:rFonts w:ascii="黑体" w:hAnsi="宋体" w:eastAsia="黑体"/>
          <w:sz w:val="36"/>
          <w:szCs w:val="21"/>
        </w:rPr>
        <w:t>…………………………</w:t>
      </w:r>
    </w:p>
    <w:p>
      <w:pPr>
        <w:spacing w:line="560" w:lineRule="exact"/>
        <w:outlineLvl w:val="0"/>
        <w:rPr>
          <w:rFonts w:ascii="黑体" w:hAnsi="宋体" w:eastAsia="黑体"/>
          <w:sz w:val="36"/>
          <w:szCs w:val="21"/>
        </w:rPr>
      </w:pPr>
      <w:r>
        <w:rPr>
          <w:rFonts w:hint="eastAsia" w:ascii="黑体" w:hAnsi="宋体" w:eastAsia="黑体"/>
          <w:sz w:val="36"/>
          <w:szCs w:val="21"/>
        </w:rPr>
        <w:t>第五章    评审方法和评审标准</w:t>
      </w:r>
      <w:r>
        <w:rPr>
          <w:rFonts w:ascii="黑体" w:hAnsi="宋体" w:eastAsia="黑体"/>
          <w:sz w:val="36"/>
          <w:szCs w:val="21"/>
        </w:rPr>
        <w:t>……………</w:t>
      </w:r>
    </w:p>
    <w:p>
      <w:pPr>
        <w:spacing w:line="560" w:lineRule="exact"/>
        <w:outlineLvl w:val="0"/>
        <w:rPr>
          <w:rFonts w:ascii="黑体" w:hAnsi="宋体" w:eastAsia="黑体"/>
          <w:sz w:val="36"/>
          <w:szCs w:val="21"/>
        </w:rPr>
      </w:pPr>
      <w:r>
        <w:rPr>
          <w:rFonts w:hint="eastAsia" w:ascii="黑体" w:hAnsi="宋体" w:eastAsia="黑体"/>
          <w:sz w:val="36"/>
          <w:szCs w:val="21"/>
        </w:rPr>
        <w:t>第六章    磋商响应文件格式</w:t>
      </w:r>
      <w:r>
        <w:rPr>
          <w:rFonts w:ascii="黑体" w:hAnsi="宋体" w:eastAsia="黑体"/>
          <w:sz w:val="36"/>
          <w:szCs w:val="21"/>
        </w:rPr>
        <w:t>………………</w:t>
      </w:r>
    </w:p>
    <w:p>
      <w:pPr>
        <w:rPr>
          <w:rFonts w:ascii="宋体" w:hAnsi="宋体"/>
        </w:rPr>
      </w:pPr>
    </w:p>
    <w:p>
      <w:pPr>
        <w:rPr>
          <w:rFonts w:ascii="宋体" w:hAnsi="宋体"/>
        </w:rPr>
      </w:pPr>
      <w:r>
        <w:rPr>
          <w:rFonts w:ascii="宋体" w:hAnsi="宋体"/>
        </w:rPr>
        <w:br w:type="page"/>
      </w:r>
    </w:p>
    <w:p>
      <w:pPr>
        <w:pStyle w:val="3"/>
        <w:jc w:val="center"/>
        <w:rPr>
          <w:rFonts w:ascii="黑体" w:eastAsia="黑体"/>
          <w:b/>
          <w:sz w:val="44"/>
          <w:szCs w:val="44"/>
        </w:rPr>
      </w:pPr>
      <w:r>
        <w:rPr>
          <w:rFonts w:hint="eastAsia" w:ascii="黑体" w:eastAsia="黑体"/>
          <w:b/>
          <w:sz w:val="44"/>
          <w:szCs w:val="44"/>
        </w:rPr>
        <w:t>第一章 采购邀请</w:t>
      </w:r>
    </w:p>
    <w:p>
      <w:pPr>
        <w:pStyle w:val="13"/>
        <w:spacing w:after="143" w:afterLines="50" w:line="560" w:lineRule="exact"/>
        <w:ind w:firstLine="480" w:firstLineChars="200"/>
        <w:rPr>
          <w:rFonts w:ascii="宋体" w:hAnsi="宋体" w:eastAsia="宋体"/>
          <w:sz w:val="24"/>
          <w:szCs w:val="24"/>
        </w:rPr>
      </w:pPr>
      <w:r>
        <w:rPr>
          <w:rFonts w:hint="eastAsia" w:ascii="宋体" w:hAnsi="宋体" w:eastAsia="宋体"/>
          <w:sz w:val="24"/>
          <w:szCs w:val="24"/>
        </w:rPr>
        <w:t>南京工业职业技术大学决定就其所需的生活垃圾、食堂泔水和废弃油脂清运服务项目实施磋商采购，欢迎符合条件的供应商参加磋商。</w:t>
      </w:r>
    </w:p>
    <w:p>
      <w:pPr>
        <w:pStyle w:val="13"/>
        <w:spacing w:after="143" w:afterLines="50" w:line="560" w:lineRule="exact"/>
        <w:ind w:firstLine="480" w:firstLineChars="200"/>
        <w:rPr>
          <w:rFonts w:ascii="宋体" w:hAnsi="宋体" w:eastAsia="宋体"/>
          <w:b/>
          <w:bCs/>
          <w:sz w:val="24"/>
          <w:szCs w:val="24"/>
        </w:rPr>
      </w:pPr>
      <w:r>
        <w:rPr>
          <w:rFonts w:hint="eastAsia" w:ascii="宋体" w:hAnsi="宋体" w:eastAsia="宋体"/>
          <w:sz w:val="24"/>
          <w:szCs w:val="24"/>
        </w:rPr>
        <w:t>一、</w:t>
      </w:r>
      <w:r>
        <w:rPr>
          <w:rFonts w:hint="eastAsia" w:ascii="宋体" w:hAnsi="宋体" w:eastAsia="宋体"/>
          <w:b/>
          <w:bCs/>
          <w:sz w:val="24"/>
          <w:szCs w:val="24"/>
        </w:rPr>
        <w:t>采购项目名称及编号</w:t>
      </w:r>
    </w:p>
    <w:p>
      <w:pPr>
        <w:tabs>
          <w:tab w:val="left" w:pos="0"/>
          <w:tab w:val="left" w:pos="993"/>
          <w:tab w:val="left" w:pos="1134"/>
        </w:tabs>
        <w:adjustRightInd w:val="0"/>
        <w:spacing w:line="360" w:lineRule="auto"/>
        <w:ind w:firstLine="420"/>
        <w:rPr>
          <w:szCs w:val="22"/>
        </w:rPr>
      </w:pPr>
      <w:r>
        <w:rPr>
          <w:rFonts w:hint="eastAsia"/>
          <w:szCs w:val="22"/>
        </w:rPr>
        <w:t>项目名称：南京工业职业技术大学天堂校区生活垃圾、食堂泔水和废弃油脂清运服务项目</w:t>
      </w:r>
    </w:p>
    <w:p>
      <w:pPr>
        <w:tabs>
          <w:tab w:val="left" w:pos="0"/>
          <w:tab w:val="left" w:pos="993"/>
          <w:tab w:val="left" w:pos="1134"/>
        </w:tabs>
        <w:adjustRightInd w:val="0"/>
        <w:spacing w:line="360" w:lineRule="auto"/>
        <w:ind w:firstLine="420"/>
        <w:rPr>
          <w:szCs w:val="22"/>
        </w:rPr>
      </w:pPr>
      <w:r>
        <w:rPr>
          <w:rFonts w:hint="eastAsia"/>
          <w:szCs w:val="22"/>
        </w:rPr>
        <w:t>项目编号：FW2020055X</w:t>
      </w:r>
    </w:p>
    <w:p>
      <w:pPr>
        <w:spacing w:after="143" w:afterLines="50" w:line="560" w:lineRule="exact"/>
        <w:ind w:firstLine="472" w:firstLineChars="196"/>
        <w:rPr>
          <w:rFonts w:ascii="宋体" w:hAnsi="宋体"/>
          <w:b/>
          <w:bCs/>
          <w:color w:val="000000"/>
          <w:sz w:val="24"/>
        </w:rPr>
      </w:pPr>
      <w:r>
        <w:rPr>
          <w:rFonts w:hint="eastAsia" w:ascii="宋体" w:hAnsi="宋体"/>
          <w:b/>
          <w:bCs/>
          <w:color w:val="000000"/>
          <w:sz w:val="24"/>
        </w:rPr>
        <w:t>二、采购项目简要说明及预算金额</w:t>
      </w:r>
    </w:p>
    <w:p>
      <w:pPr>
        <w:tabs>
          <w:tab w:val="left" w:pos="0"/>
          <w:tab w:val="left" w:pos="993"/>
          <w:tab w:val="left" w:pos="1134"/>
        </w:tabs>
        <w:adjustRightInd w:val="0"/>
        <w:spacing w:line="360" w:lineRule="auto"/>
        <w:ind w:firstLine="420"/>
        <w:rPr>
          <w:szCs w:val="22"/>
        </w:rPr>
      </w:pPr>
      <w:r>
        <w:rPr>
          <w:rFonts w:hint="eastAsia"/>
          <w:szCs w:val="22"/>
        </w:rPr>
        <w:t>本项目服务内容为天堂校区内全校师生日常生活所产生的全部生活垃圾、食堂泔水和废弃油脂、杂物及少量建筑垃圾等垃圾清运出校园服务，并按国家相关法律法规要求运送至指定垃圾清倒点的全过程服务。</w:t>
      </w:r>
    </w:p>
    <w:p>
      <w:pPr>
        <w:tabs>
          <w:tab w:val="left" w:pos="0"/>
          <w:tab w:val="left" w:pos="993"/>
          <w:tab w:val="left" w:pos="1134"/>
        </w:tabs>
        <w:adjustRightInd w:val="0"/>
        <w:spacing w:line="360" w:lineRule="auto"/>
        <w:ind w:firstLine="420"/>
        <w:rPr>
          <w:rFonts w:ascii="宋体" w:hAnsi="宋体"/>
          <w:color w:val="FF0000"/>
          <w:sz w:val="24"/>
        </w:rPr>
      </w:pPr>
      <w:r>
        <w:rPr>
          <w:szCs w:val="22"/>
        </w:rPr>
        <w:t>本项目总预算人民币</w:t>
      </w:r>
      <w:r>
        <w:rPr>
          <w:rFonts w:hint="eastAsia"/>
          <w:szCs w:val="22"/>
        </w:rPr>
        <w:t>13万元整，超预算报价作无效报价。</w:t>
      </w:r>
    </w:p>
    <w:p>
      <w:pPr>
        <w:snapToGrid w:val="0"/>
        <w:spacing w:line="560" w:lineRule="exact"/>
        <w:ind w:firstLine="482" w:firstLineChars="200"/>
        <w:rPr>
          <w:rFonts w:ascii="宋体" w:hAnsi="宋体" w:cs="Arial"/>
          <w:b/>
          <w:bCs/>
          <w:color w:val="000000"/>
          <w:sz w:val="24"/>
          <w:szCs w:val="20"/>
        </w:rPr>
      </w:pPr>
      <w:r>
        <w:rPr>
          <w:rFonts w:hint="eastAsia" w:ascii="宋体" w:hAnsi="宋体"/>
          <w:b/>
          <w:bCs/>
          <w:color w:val="000000"/>
          <w:sz w:val="24"/>
        </w:rPr>
        <w:t>三、</w:t>
      </w:r>
      <w:r>
        <w:rPr>
          <w:rFonts w:hint="eastAsia" w:ascii="宋体" w:hAnsi="宋体" w:cs="Arial"/>
          <w:b/>
          <w:bCs/>
          <w:color w:val="000000"/>
          <w:sz w:val="24"/>
        </w:rPr>
        <w:t>合格磋商供应商资格要求</w:t>
      </w:r>
    </w:p>
    <w:p>
      <w:pPr>
        <w:snapToGrid w:val="0"/>
        <w:spacing w:line="560" w:lineRule="exact"/>
        <w:ind w:firstLine="480" w:firstLineChars="200"/>
        <w:rPr>
          <w:rFonts w:ascii="宋体" w:hAnsi="宋体" w:cs="Arial"/>
          <w:color w:val="000000"/>
          <w:sz w:val="24"/>
        </w:rPr>
      </w:pPr>
      <w:r>
        <w:rPr>
          <w:rFonts w:hint="eastAsia" w:ascii="宋体" w:hAnsi="宋体" w:cs="Arial"/>
          <w:color w:val="000000"/>
          <w:sz w:val="24"/>
        </w:rPr>
        <w:t>1、</w:t>
      </w:r>
      <w:r>
        <w:rPr>
          <w:rFonts w:ascii="宋体" w:hAnsi="宋体" w:cs="Arial"/>
          <w:color w:val="000000"/>
          <w:sz w:val="24"/>
        </w:rPr>
        <w:t>法人或者其他组织的营业执照等证明文件，自然人的身份证明；</w:t>
      </w:r>
      <w:r>
        <w:rPr>
          <w:rFonts w:ascii="宋体" w:hAnsi="宋体" w:cs="Arial"/>
          <w:color w:val="000000"/>
          <w:sz w:val="24"/>
        </w:rPr>
        <w:br w:type="textWrapping"/>
      </w:r>
      <w:r>
        <w:rPr>
          <w:rFonts w:ascii="宋体" w:hAnsi="宋体" w:cs="Arial"/>
          <w:color w:val="000000"/>
          <w:sz w:val="24"/>
        </w:rPr>
        <w:t>　　</w:t>
      </w:r>
      <w:r>
        <w:rPr>
          <w:rFonts w:hint="eastAsia" w:ascii="宋体" w:hAnsi="宋体" w:cs="Arial"/>
          <w:color w:val="000000"/>
          <w:sz w:val="24"/>
        </w:rPr>
        <w:t>2、</w:t>
      </w:r>
      <w:r>
        <w:rPr>
          <w:rFonts w:hint="eastAsia" w:hAnsi="宋体" w:cs="宋体"/>
          <w:kern w:val="0"/>
          <w:sz w:val="24"/>
        </w:rPr>
        <w:t>2019年度的</w:t>
      </w:r>
      <w:r>
        <w:rPr>
          <w:rFonts w:hAnsi="宋体" w:cs="宋体"/>
          <w:kern w:val="0"/>
          <w:sz w:val="24"/>
        </w:rPr>
        <w:t>财务报告</w:t>
      </w:r>
      <w:r>
        <w:rPr>
          <w:rFonts w:hint="eastAsia" w:hAnsi="宋体" w:cs="宋体"/>
          <w:kern w:val="0"/>
          <w:sz w:val="24"/>
        </w:rPr>
        <w:t>（成立不满一年不需提供）</w:t>
      </w:r>
      <w:r>
        <w:rPr>
          <w:rFonts w:hint="eastAsia" w:ascii="宋体" w:hAnsi="宋体" w:cs="Arial"/>
          <w:color w:val="000000"/>
          <w:sz w:val="24"/>
        </w:rPr>
        <w:t>；</w:t>
      </w:r>
    </w:p>
    <w:p>
      <w:pPr>
        <w:snapToGrid w:val="0"/>
        <w:spacing w:line="560" w:lineRule="exact"/>
        <w:ind w:firstLine="480" w:firstLineChars="200"/>
        <w:rPr>
          <w:rFonts w:ascii="宋体" w:hAnsi="宋体" w:cs="Arial"/>
          <w:color w:val="000000"/>
          <w:sz w:val="24"/>
        </w:rPr>
      </w:pPr>
      <w:r>
        <w:rPr>
          <w:rFonts w:hint="eastAsia" w:ascii="宋体" w:hAnsi="宋体" w:cs="Arial"/>
          <w:color w:val="000000"/>
          <w:sz w:val="24"/>
        </w:rPr>
        <w:t>3、</w:t>
      </w:r>
      <w:r>
        <w:rPr>
          <w:rFonts w:ascii="宋体" w:hAnsi="宋体" w:cs="Arial"/>
          <w:color w:val="000000"/>
          <w:sz w:val="24"/>
        </w:rPr>
        <w:t>依法缴纳税收和社会保障资金的书面声明；</w:t>
      </w:r>
      <w:r>
        <w:rPr>
          <w:rFonts w:ascii="宋体" w:hAnsi="宋体" w:cs="Arial"/>
          <w:color w:val="000000"/>
          <w:sz w:val="24"/>
        </w:rPr>
        <w:br w:type="textWrapping"/>
      </w:r>
      <w:r>
        <w:rPr>
          <w:rFonts w:ascii="宋体" w:hAnsi="宋体" w:cs="Arial"/>
          <w:color w:val="000000"/>
          <w:sz w:val="24"/>
        </w:rPr>
        <w:t>　　</w:t>
      </w:r>
      <w:r>
        <w:rPr>
          <w:rFonts w:hint="eastAsia" w:ascii="宋体" w:hAnsi="宋体" w:cs="Arial"/>
          <w:color w:val="000000"/>
          <w:sz w:val="24"/>
        </w:rPr>
        <w:t>4、具备履行合同所必需的设备和专业技术能力的书面声明</w:t>
      </w:r>
      <w:r>
        <w:rPr>
          <w:rFonts w:ascii="宋体" w:hAnsi="宋体" w:cs="Arial"/>
          <w:color w:val="000000"/>
          <w:sz w:val="24"/>
        </w:rPr>
        <w:t>；</w:t>
      </w:r>
    </w:p>
    <w:p>
      <w:pPr>
        <w:spacing w:line="360" w:lineRule="auto"/>
        <w:ind w:firstLine="484" w:firstLineChars="202"/>
        <w:rPr>
          <w:rFonts w:ascii="宋体" w:hAnsi="宋体" w:cs="宋体"/>
          <w:kern w:val="0"/>
          <w:sz w:val="24"/>
        </w:rPr>
      </w:pPr>
      <w:r>
        <w:rPr>
          <w:rFonts w:hint="eastAsia" w:ascii="宋体" w:hAnsi="宋体" w:cs="Arial"/>
          <w:color w:val="000000"/>
          <w:sz w:val="24"/>
        </w:rPr>
        <w:t>5、</w:t>
      </w:r>
      <w:r>
        <w:rPr>
          <w:rFonts w:hint="eastAsia" w:ascii="宋体" w:hAnsi="宋体" w:cs="宋体"/>
          <w:kern w:val="0"/>
          <w:sz w:val="24"/>
        </w:rPr>
        <w:t>须具有合法的《城市生活垃圾经营性清扫、收集、运输服务许可证》和《排污许可证》。</w:t>
      </w:r>
    </w:p>
    <w:p>
      <w:pPr>
        <w:snapToGrid w:val="0"/>
        <w:spacing w:line="560" w:lineRule="exact"/>
        <w:ind w:firstLine="480" w:firstLineChars="200"/>
        <w:rPr>
          <w:rFonts w:ascii="宋体" w:hAnsi="宋体" w:cs="Arial"/>
          <w:sz w:val="24"/>
        </w:rPr>
      </w:pPr>
      <w:r>
        <w:rPr>
          <w:rFonts w:hint="eastAsia" w:ascii="宋体" w:hAnsi="宋体" w:cs="Arial"/>
          <w:sz w:val="24"/>
          <w:szCs w:val="20"/>
        </w:rPr>
        <w:t>本项目</w:t>
      </w:r>
      <w:r>
        <w:rPr>
          <w:rFonts w:hint="eastAsia" w:ascii="宋体" w:hAnsi="宋体" w:cs="Arial"/>
          <w:sz w:val="24"/>
          <w:szCs w:val="20"/>
          <w:u w:val="single"/>
        </w:rPr>
        <w:t>　不接受　</w:t>
      </w:r>
      <w:r>
        <w:rPr>
          <w:rFonts w:hint="eastAsia" w:ascii="宋体" w:hAnsi="宋体" w:cs="Arial"/>
          <w:sz w:val="24"/>
          <w:szCs w:val="20"/>
        </w:rPr>
        <w:t>联合体参与磋商（接受/不接受）；</w:t>
      </w:r>
    </w:p>
    <w:p>
      <w:pPr>
        <w:spacing w:after="143" w:afterLines="50" w:line="560" w:lineRule="exact"/>
        <w:ind w:firstLine="588" w:firstLineChars="244"/>
        <w:rPr>
          <w:rFonts w:ascii="宋体" w:hAnsi="宋体"/>
          <w:color w:val="000000"/>
          <w:sz w:val="24"/>
        </w:rPr>
      </w:pPr>
      <w:r>
        <w:rPr>
          <w:rFonts w:hint="eastAsia" w:ascii="宋体" w:hAnsi="宋体"/>
          <w:b/>
          <w:bCs/>
          <w:color w:val="000000"/>
          <w:sz w:val="24"/>
        </w:rPr>
        <w:t>四、磋商响应文件接收截止时间和地点</w:t>
      </w:r>
    </w:p>
    <w:p>
      <w:pPr>
        <w:spacing w:after="143" w:afterLines="50" w:line="560" w:lineRule="exact"/>
        <w:ind w:firstLine="360" w:firstLineChars="150"/>
        <w:rPr>
          <w:rFonts w:ascii="宋体" w:hAnsi="宋体"/>
          <w:color w:val="000000"/>
          <w:sz w:val="24"/>
          <w:highlight w:val="none"/>
        </w:rPr>
      </w:pPr>
      <w:r>
        <w:rPr>
          <w:rFonts w:hint="eastAsia" w:ascii="宋体" w:hAnsi="宋体"/>
          <w:color w:val="000000"/>
          <w:sz w:val="24"/>
          <w:highlight w:val="none"/>
        </w:rPr>
        <w:t>（一）响应文件接收时间：</w:t>
      </w:r>
      <w:r>
        <w:rPr>
          <w:rFonts w:ascii="宋体" w:hAnsi="宋体"/>
          <w:color w:val="000000"/>
          <w:sz w:val="24"/>
          <w:highlight w:val="none"/>
        </w:rPr>
        <w:t xml:space="preserve"> </w:t>
      </w:r>
      <w:r>
        <w:rPr>
          <w:rFonts w:hint="eastAsia" w:ascii="宋体" w:hAnsi="宋体"/>
          <w:color w:val="000000"/>
          <w:sz w:val="24"/>
          <w:highlight w:val="none"/>
          <w:lang w:val="en-US" w:eastAsia="zh-CN"/>
        </w:rPr>
        <w:t>2020</w:t>
      </w: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lang w:val="en-US" w:eastAsia="zh-CN"/>
        </w:rPr>
        <w:t>9</w:t>
      </w:r>
      <w:r>
        <w:rPr>
          <w:rFonts w:hint="eastAsia" w:ascii="宋体" w:hAnsi="宋体"/>
          <w:color w:val="000000"/>
          <w:sz w:val="24"/>
          <w:highlight w:val="none"/>
        </w:rPr>
        <w:t>月</w:t>
      </w:r>
      <w:r>
        <w:rPr>
          <w:rFonts w:hint="eastAsia" w:ascii="宋体" w:hAnsi="宋体"/>
          <w:color w:val="000000"/>
          <w:sz w:val="24"/>
          <w:highlight w:val="none"/>
          <w:lang w:val="en-US" w:eastAsia="zh-CN"/>
        </w:rPr>
        <w:t>5</w:t>
      </w:r>
      <w:r>
        <w:rPr>
          <w:rFonts w:hint="eastAsia" w:ascii="宋体" w:hAnsi="宋体"/>
          <w:color w:val="000000"/>
          <w:sz w:val="24"/>
          <w:highlight w:val="none"/>
        </w:rPr>
        <w:t>日</w:t>
      </w:r>
      <w:r>
        <w:rPr>
          <w:rFonts w:hint="eastAsia" w:ascii="宋体" w:hAnsi="宋体"/>
          <w:color w:val="000000"/>
          <w:sz w:val="24"/>
          <w:highlight w:val="none"/>
          <w:lang w:val="en-US" w:eastAsia="zh-CN"/>
        </w:rPr>
        <w:t>09:30前</w:t>
      </w:r>
      <w:r>
        <w:rPr>
          <w:rFonts w:hint="eastAsia" w:ascii="宋体" w:hAnsi="宋体"/>
          <w:color w:val="000000"/>
          <w:sz w:val="24"/>
          <w:highlight w:val="none"/>
        </w:rPr>
        <w:t>，逾期送达将作无效响应处理；</w:t>
      </w:r>
    </w:p>
    <w:p>
      <w:pPr>
        <w:spacing w:after="143" w:afterLines="50" w:line="560" w:lineRule="exact"/>
        <w:ind w:firstLine="360" w:firstLineChars="150"/>
        <w:rPr>
          <w:rFonts w:ascii="宋体" w:hAnsi="宋体"/>
          <w:color w:val="000000"/>
          <w:sz w:val="24"/>
          <w:highlight w:val="none"/>
        </w:rPr>
      </w:pPr>
      <w:r>
        <w:rPr>
          <w:rFonts w:hint="eastAsia" w:ascii="宋体" w:hAnsi="宋体"/>
          <w:color w:val="000000"/>
          <w:sz w:val="24"/>
          <w:highlight w:val="none"/>
        </w:rPr>
        <w:t>（二）响应文件接收截止时间：</w:t>
      </w:r>
      <w:r>
        <w:rPr>
          <w:rFonts w:hint="eastAsia" w:ascii="宋体" w:hAnsi="宋体"/>
          <w:color w:val="000000"/>
          <w:sz w:val="24"/>
          <w:highlight w:val="none"/>
          <w:lang w:val="en-US" w:eastAsia="zh-CN"/>
        </w:rPr>
        <w:t>2020</w:t>
      </w:r>
      <w:r>
        <w:rPr>
          <w:rFonts w:hint="eastAsia" w:ascii="宋体" w:hAnsi="宋体"/>
          <w:color w:val="000000"/>
          <w:sz w:val="24"/>
          <w:highlight w:val="none"/>
        </w:rPr>
        <w:t>年</w:t>
      </w:r>
      <w:r>
        <w:rPr>
          <w:rFonts w:hint="eastAsia" w:ascii="宋体" w:hAnsi="宋体"/>
          <w:color w:val="000000"/>
          <w:sz w:val="24"/>
          <w:highlight w:val="none"/>
          <w:lang w:val="en-US" w:eastAsia="zh-CN"/>
        </w:rPr>
        <w:t>9</w:t>
      </w:r>
      <w:r>
        <w:rPr>
          <w:rFonts w:ascii="宋体" w:hAnsi="宋体"/>
          <w:color w:val="000000"/>
          <w:sz w:val="24"/>
          <w:highlight w:val="none"/>
        </w:rPr>
        <w:t xml:space="preserve"> </w:t>
      </w:r>
      <w:r>
        <w:rPr>
          <w:rFonts w:hint="eastAsia" w:ascii="宋体" w:hAnsi="宋体"/>
          <w:color w:val="000000"/>
          <w:sz w:val="24"/>
          <w:highlight w:val="none"/>
        </w:rPr>
        <w:t xml:space="preserve">月 </w:t>
      </w:r>
      <w:r>
        <w:rPr>
          <w:rFonts w:hint="eastAsia" w:ascii="宋体" w:hAnsi="宋体"/>
          <w:color w:val="000000"/>
          <w:sz w:val="24"/>
          <w:highlight w:val="none"/>
          <w:lang w:val="en-US" w:eastAsia="zh-CN"/>
        </w:rPr>
        <w:t>5</w:t>
      </w:r>
      <w:r>
        <w:rPr>
          <w:rFonts w:hint="eastAsia" w:ascii="宋体" w:hAnsi="宋体"/>
          <w:color w:val="000000"/>
          <w:sz w:val="24"/>
          <w:highlight w:val="none"/>
        </w:rPr>
        <w:t>日</w:t>
      </w:r>
      <w:r>
        <w:rPr>
          <w:rFonts w:hint="eastAsia" w:ascii="宋体" w:hAnsi="宋体"/>
          <w:color w:val="000000"/>
          <w:sz w:val="24"/>
          <w:highlight w:val="none"/>
          <w:lang w:val="en-US" w:eastAsia="zh-CN"/>
        </w:rPr>
        <w:t>09:30（北京时间）</w:t>
      </w:r>
      <w:r>
        <w:rPr>
          <w:rFonts w:hint="eastAsia" w:ascii="宋体" w:hAnsi="宋体"/>
          <w:color w:val="000000"/>
          <w:sz w:val="24"/>
          <w:highlight w:val="none"/>
        </w:rPr>
        <w:t>；</w:t>
      </w:r>
    </w:p>
    <w:p>
      <w:pPr>
        <w:spacing w:after="143" w:afterLines="50" w:line="560" w:lineRule="exact"/>
        <w:ind w:firstLine="360" w:firstLineChars="150"/>
        <w:rPr>
          <w:rFonts w:ascii="宋体" w:hAnsi="宋体"/>
          <w:color w:val="000000"/>
          <w:sz w:val="24"/>
        </w:rPr>
      </w:pPr>
      <w:r>
        <w:rPr>
          <w:rFonts w:hint="eastAsia" w:ascii="宋体" w:hAnsi="宋体"/>
          <w:color w:val="000000"/>
          <w:sz w:val="24"/>
        </w:rPr>
        <w:t xml:space="preserve">（三）响应文件接收地点：南京工业职业技术大学仙林校区南门保安室（南京市仙林大学城羊山北路1号）； </w:t>
      </w:r>
    </w:p>
    <w:p>
      <w:pPr>
        <w:spacing w:after="143" w:afterLines="50" w:line="560" w:lineRule="exact"/>
        <w:ind w:firstLine="360" w:firstLineChars="150"/>
        <w:rPr>
          <w:rFonts w:ascii="宋体" w:hAnsi="宋体"/>
          <w:color w:val="000000"/>
          <w:sz w:val="24"/>
          <w:u w:val="single"/>
        </w:rPr>
      </w:pPr>
      <w:r>
        <w:rPr>
          <w:rFonts w:hint="eastAsia" w:ascii="宋体" w:hAnsi="宋体"/>
          <w:color w:val="000000"/>
          <w:sz w:val="24"/>
        </w:rPr>
        <w:t>（四）磋商响应文件接收人：唐老师；</w:t>
      </w:r>
    </w:p>
    <w:p>
      <w:pPr>
        <w:spacing w:after="143" w:afterLines="50" w:line="560" w:lineRule="exact"/>
        <w:ind w:firstLine="590" w:firstLineChars="245"/>
        <w:rPr>
          <w:rFonts w:ascii="宋体" w:hAnsi="宋体"/>
          <w:b/>
          <w:bCs/>
          <w:color w:val="000000"/>
          <w:sz w:val="24"/>
        </w:rPr>
      </w:pPr>
      <w:r>
        <w:rPr>
          <w:rFonts w:hint="eastAsia" w:ascii="宋体" w:hAnsi="宋体"/>
          <w:b/>
          <w:bCs/>
          <w:color w:val="000000"/>
          <w:sz w:val="24"/>
        </w:rPr>
        <w:t>五、磋商响应文件开启信息</w:t>
      </w:r>
    </w:p>
    <w:p>
      <w:pPr>
        <w:spacing w:after="143" w:afterLines="50" w:line="560" w:lineRule="exact"/>
        <w:ind w:firstLine="360" w:firstLineChars="150"/>
        <w:rPr>
          <w:rFonts w:ascii="宋体" w:hAnsi="宋体"/>
          <w:color w:val="000000"/>
          <w:sz w:val="24"/>
          <w:highlight w:val="none"/>
        </w:rPr>
      </w:pPr>
      <w:r>
        <w:rPr>
          <w:rFonts w:hint="eastAsia" w:ascii="宋体" w:hAnsi="宋体"/>
          <w:color w:val="000000"/>
          <w:sz w:val="24"/>
          <w:highlight w:val="none"/>
        </w:rPr>
        <w:t>（一）响应文件开启时间：</w:t>
      </w:r>
      <w:r>
        <w:rPr>
          <w:rFonts w:hint="eastAsia" w:ascii="宋体" w:hAnsi="宋体"/>
          <w:color w:val="000000"/>
          <w:sz w:val="24"/>
          <w:highlight w:val="none"/>
          <w:lang w:val="en-US" w:eastAsia="zh-CN"/>
        </w:rPr>
        <w:t>2020</w:t>
      </w:r>
      <w:r>
        <w:rPr>
          <w:rFonts w:hint="eastAsia" w:ascii="宋体" w:hAnsi="宋体"/>
          <w:color w:val="000000"/>
          <w:sz w:val="24"/>
          <w:highlight w:val="none"/>
        </w:rPr>
        <w:t>年</w:t>
      </w:r>
      <w:r>
        <w:rPr>
          <w:rFonts w:hint="eastAsia" w:ascii="宋体" w:hAnsi="宋体"/>
          <w:color w:val="000000"/>
          <w:sz w:val="24"/>
          <w:highlight w:val="none"/>
          <w:lang w:val="en-US" w:eastAsia="zh-CN"/>
        </w:rPr>
        <w:t>9</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lang w:val="en-US" w:eastAsia="zh-CN"/>
        </w:rPr>
        <w:t>5</w:t>
      </w:r>
      <w:r>
        <w:rPr>
          <w:rFonts w:ascii="宋体" w:hAnsi="宋体"/>
          <w:color w:val="000000"/>
          <w:sz w:val="24"/>
          <w:highlight w:val="none"/>
        </w:rPr>
        <w:t xml:space="preserve"> </w:t>
      </w:r>
      <w:r>
        <w:rPr>
          <w:rFonts w:hint="eastAsia" w:ascii="宋体" w:hAnsi="宋体"/>
          <w:color w:val="000000"/>
          <w:sz w:val="24"/>
          <w:highlight w:val="none"/>
        </w:rPr>
        <w:t>日</w:t>
      </w:r>
      <w:r>
        <w:rPr>
          <w:rFonts w:hint="eastAsia" w:ascii="宋体" w:hAnsi="宋体"/>
          <w:color w:val="000000"/>
          <w:sz w:val="24"/>
          <w:highlight w:val="none"/>
          <w:lang w:val="en-US" w:eastAsia="zh-CN"/>
        </w:rPr>
        <w:t>09:30</w:t>
      </w:r>
      <w:bookmarkStart w:id="121" w:name="_GoBack"/>
      <w:bookmarkEnd w:id="121"/>
      <w:r>
        <w:rPr>
          <w:rFonts w:hint="eastAsia" w:ascii="宋体" w:hAnsi="宋体"/>
          <w:color w:val="000000"/>
          <w:sz w:val="24"/>
          <w:highlight w:val="none"/>
        </w:rPr>
        <w:t>后；</w:t>
      </w:r>
    </w:p>
    <w:p>
      <w:pPr>
        <w:spacing w:after="143" w:afterLines="50" w:line="560" w:lineRule="exact"/>
        <w:ind w:firstLine="360" w:firstLineChars="150"/>
        <w:rPr>
          <w:rFonts w:ascii="宋体" w:hAnsi="宋体"/>
          <w:sz w:val="24"/>
        </w:rPr>
      </w:pPr>
      <w:r>
        <w:rPr>
          <w:rFonts w:hint="eastAsia" w:ascii="宋体" w:hAnsi="宋体"/>
          <w:sz w:val="24"/>
        </w:rPr>
        <w:t>（二）响应文件开启及磋商地点：</w:t>
      </w:r>
      <w:r>
        <w:rPr>
          <w:rFonts w:hint="eastAsia" w:ascii="宋体" w:hAnsi="宋体"/>
          <w:color w:val="000000"/>
          <w:sz w:val="24"/>
        </w:rPr>
        <w:t xml:space="preserve">南京工业职业技术大学仙林校区 </w:t>
      </w:r>
      <w:r>
        <w:rPr>
          <w:rFonts w:ascii="宋体" w:hAnsi="宋体"/>
          <w:color w:val="000000"/>
          <w:sz w:val="24"/>
        </w:rPr>
        <w:t xml:space="preserve">            </w:t>
      </w:r>
      <w:r>
        <w:rPr>
          <w:rFonts w:hint="eastAsia" w:ascii="宋体" w:hAnsi="宋体"/>
          <w:color w:val="000000"/>
          <w:sz w:val="24"/>
        </w:rPr>
        <w:t>；</w:t>
      </w:r>
    </w:p>
    <w:p>
      <w:pPr>
        <w:tabs>
          <w:tab w:val="left" w:pos="900"/>
        </w:tabs>
        <w:spacing w:after="143" w:afterLines="50" w:line="560" w:lineRule="exact"/>
        <w:ind w:firstLine="590" w:firstLineChars="245"/>
        <w:rPr>
          <w:rFonts w:ascii="宋体" w:hAnsi="宋体"/>
          <w:b/>
          <w:bCs/>
          <w:color w:val="000000"/>
          <w:sz w:val="24"/>
        </w:rPr>
      </w:pPr>
      <w:r>
        <w:rPr>
          <w:rFonts w:hint="eastAsia" w:ascii="宋体" w:hAnsi="宋体"/>
          <w:b/>
          <w:bCs/>
          <w:color w:val="000000"/>
          <w:sz w:val="24"/>
        </w:rPr>
        <w:t>六、本次磋商采购联系事项</w:t>
      </w:r>
    </w:p>
    <w:p>
      <w:pPr>
        <w:adjustRightInd w:val="0"/>
        <w:snapToGrid w:val="0"/>
        <w:spacing w:line="360" w:lineRule="auto"/>
        <w:ind w:firstLine="540" w:firstLineChars="225"/>
        <w:rPr>
          <w:rFonts w:ascii="宋体" w:hAnsi="宋体"/>
          <w:color w:val="000000"/>
          <w:sz w:val="24"/>
          <w:szCs w:val="20"/>
        </w:rPr>
      </w:pPr>
      <w:r>
        <w:rPr>
          <w:rFonts w:hint="eastAsia" w:ascii="宋体" w:hAnsi="宋体"/>
          <w:color w:val="000000"/>
          <w:sz w:val="24"/>
          <w:szCs w:val="20"/>
        </w:rPr>
        <w:t>唐老师025-85864066传真：025-85864030</w:t>
      </w:r>
    </w:p>
    <w:p>
      <w:pPr>
        <w:tabs>
          <w:tab w:val="left" w:pos="0"/>
          <w:tab w:val="left" w:pos="993"/>
          <w:tab w:val="left" w:pos="1134"/>
        </w:tabs>
        <w:adjustRightInd w:val="0"/>
        <w:spacing w:line="360" w:lineRule="auto"/>
        <w:ind w:firstLine="482" w:firstLineChars="200"/>
        <w:rPr>
          <w:rFonts w:ascii="宋体" w:hAnsi="宋体"/>
          <w:b/>
          <w:sz w:val="24"/>
          <w:highlight w:val="none"/>
        </w:rPr>
      </w:pPr>
      <w:r>
        <w:rPr>
          <w:rFonts w:hint="eastAsia" w:ascii="宋体" w:hAnsi="宋体"/>
          <w:b/>
          <w:sz w:val="24"/>
          <w:highlight w:val="none"/>
        </w:rPr>
        <w:t>自行踏勘联系人：王辉</w:t>
      </w:r>
      <w:r>
        <w:rPr>
          <w:rFonts w:ascii="宋体" w:hAnsi="宋体"/>
          <w:b/>
          <w:sz w:val="24"/>
          <w:highlight w:val="none"/>
        </w:rPr>
        <w:t xml:space="preserve"> </w:t>
      </w:r>
      <w:r>
        <w:rPr>
          <w:rFonts w:hint="eastAsia" w:ascii="宋体" w:hAnsi="宋体"/>
          <w:b/>
          <w:sz w:val="24"/>
          <w:highlight w:val="none"/>
          <w:lang w:val="en-US" w:eastAsia="zh-CN"/>
        </w:rPr>
        <w:t xml:space="preserve">  </w:t>
      </w:r>
      <w:r>
        <w:rPr>
          <w:rFonts w:hint="eastAsia" w:ascii="宋体" w:hAnsi="宋体"/>
          <w:b/>
          <w:sz w:val="24"/>
          <w:highlight w:val="none"/>
        </w:rPr>
        <w:t>联系电话：13601402883</w:t>
      </w:r>
    </w:p>
    <w:p>
      <w:pPr>
        <w:adjustRightInd w:val="0"/>
        <w:snapToGrid w:val="0"/>
        <w:spacing w:line="560" w:lineRule="exact"/>
        <w:ind w:firstLine="482" w:firstLineChars="200"/>
        <w:rPr>
          <w:rFonts w:ascii="宋体" w:hAnsi="宋体"/>
          <w:b/>
          <w:bCs/>
          <w:color w:val="000000"/>
          <w:sz w:val="24"/>
        </w:rPr>
      </w:pPr>
      <w:r>
        <w:rPr>
          <w:rFonts w:hint="eastAsia" w:ascii="宋体" w:hAnsi="宋体"/>
          <w:b/>
          <w:bCs/>
          <w:color w:val="000000"/>
          <w:sz w:val="24"/>
        </w:rPr>
        <w:t>七、本次磋商响应文件制作份数要求</w:t>
      </w:r>
    </w:p>
    <w:p>
      <w:pPr>
        <w:adjustRightInd w:val="0"/>
        <w:snapToGrid w:val="0"/>
        <w:spacing w:line="560" w:lineRule="exact"/>
        <w:ind w:firstLine="480" w:firstLineChars="200"/>
        <w:rPr>
          <w:rFonts w:ascii="宋体" w:hAnsi="宋体"/>
          <w:color w:val="000000"/>
          <w:sz w:val="24"/>
        </w:rPr>
      </w:pPr>
      <w:r>
        <w:rPr>
          <w:rFonts w:hint="eastAsia" w:ascii="宋体" w:hAnsi="宋体"/>
          <w:color w:val="000000"/>
          <w:sz w:val="24"/>
        </w:rPr>
        <w:t>正本份数：1份   副本份数：</w:t>
      </w:r>
      <w:r>
        <w:rPr>
          <w:rFonts w:hint="eastAsia" w:ascii="宋体" w:hAnsi="宋体"/>
          <w:color w:val="000000"/>
          <w:sz w:val="24"/>
          <w:u w:val="single"/>
        </w:rPr>
        <w:t>2</w:t>
      </w:r>
      <w:r>
        <w:rPr>
          <w:rFonts w:hint="eastAsia" w:ascii="宋体" w:hAnsi="宋体"/>
          <w:color w:val="000000"/>
          <w:sz w:val="24"/>
        </w:rPr>
        <w:t>份</w:t>
      </w:r>
    </w:p>
    <w:p>
      <w:pPr>
        <w:spacing w:line="560" w:lineRule="exact"/>
        <w:ind w:firstLine="482" w:firstLineChars="200"/>
        <w:rPr>
          <w:rFonts w:ascii="宋体" w:hAnsi="宋体"/>
          <w:b/>
          <w:bCs/>
          <w:color w:val="000000"/>
          <w:sz w:val="24"/>
        </w:rPr>
      </w:pPr>
      <w:r>
        <w:rPr>
          <w:rFonts w:hint="eastAsia" w:ascii="宋体" w:hAnsi="宋体"/>
          <w:b/>
          <w:bCs/>
          <w:color w:val="000000"/>
          <w:sz w:val="24"/>
        </w:rPr>
        <w:t>八、本次磋商保证金要求：</w:t>
      </w:r>
    </w:p>
    <w:p>
      <w:pPr>
        <w:spacing w:line="440" w:lineRule="exact"/>
        <w:ind w:firstLine="480" w:firstLineChars="200"/>
        <w:rPr>
          <w:rFonts w:ascii="宋体" w:hAnsi="宋体"/>
          <w:sz w:val="24"/>
        </w:rPr>
      </w:pPr>
      <w:r>
        <w:rPr>
          <w:rFonts w:hAnsi="宋体"/>
          <w:sz w:val="24"/>
        </w:rPr>
        <w:t>投标保证金的交纳形式为有效银行本票、银行汇票等。</w:t>
      </w:r>
      <w:r>
        <w:rPr>
          <w:rFonts w:hAnsi="宋体"/>
          <w:sz w:val="24"/>
          <w:highlight w:val="yellow"/>
          <w:shd w:val="pct10" w:color="auto" w:fill="FFFFFF"/>
        </w:rPr>
        <w:t>（招标人不接受</w:t>
      </w:r>
      <w:r>
        <w:rPr>
          <w:rFonts w:hint="eastAsia" w:hAnsi="宋体"/>
          <w:sz w:val="24"/>
          <w:highlight w:val="yellow"/>
          <w:shd w:val="pct10" w:color="auto" w:fill="FFFFFF"/>
        </w:rPr>
        <w:t>现金或汇款</w:t>
      </w:r>
      <w:r>
        <w:rPr>
          <w:rFonts w:hAnsi="宋体"/>
          <w:sz w:val="24"/>
          <w:highlight w:val="yellow"/>
          <w:shd w:val="pct10" w:color="auto" w:fill="FFFFFF"/>
        </w:rPr>
        <w:t>）</w:t>
      </w:r>
      <w:r>
        <w:rPr>
          <w:rFonts w:hint="eastAsia" w:ascii="宋体" w:hAnsi="宋体"/>
          <w:sz w:val="24"/>
          <w:highlight w:val="yellow"/>
          <w:shd w:val="pct10" w:color="auto" w:fill="FFFFFF"/>
        </w:rPr>
        <w:t>。</w:t>
      </w:r>
      <w:r>
        <w:rPr>
          <w:rFonts w:hint="eastAsia" w:ascii="宋体" w:hAnsi="宋体"/>
          <w:sz w:val="24"/>
        </w:rPr>
        <w:t>与投标文件在截止时间前一并递交。</w:t>
      </w:r>
    </w:p>
    <w:p>
      <w:pPr>
        <w:spacing w:line="440" w:lineRule="exact"/>
        <w:ind w:firstLine="480" w:firstLineChars="200"/>
        <w:rPr>
          <w:rFonts w:hint="eastAsia" w:ascii="宋体" w:hAnsi="宋体"/>
          <w:sz w:val="24"/>
          <w:highlight w:val="none"/>
        </w:rPr>
      </w:pPr>
      <w:r>
        <w:rPr>
          <w:rFonts w:hint="eastAsia" w:ascii="宋体" w:hAnsi="宋体"/>
          <w:sz w:val="24"/>
          <w:highlight w:val="none"/>
        </w:rPr>
        <w:t>招标人账户信息：</w:t>
      </w:r>
    </w:p>
    <w:p>
      <w:pPr>
        <w:spacing w:line="440" w:lineRule="exact"/>
        <w:ind w:firstLine="480" w:firstLineChars="200"/>
        <w:rPr>
          <w:rFonts w:hint="eastAsia" w:ascii="宋体" w:hAnsi="宋体" w:eastAsia="宋体"/>
          <w:sz w:val="24"/>
          <w:highlight w:val="none"/>
          <w:lang w:val="en-US" w:eastAsia="zh-CN"/>
        </w:rPr>
      </w:pPr>
      <w:r>
        <w:rPr>
          <w:rFonts w:hint="eastAsia" w:ascii="宋体" w:hAnsi="宋体"/>
          <w:sz w:val="24"/>
          <w:highlight w:val="none"/>
        </w:rPr>
        <w:t>户名：南京工业职业技术</w:t>
      </w:r>
      <w:r>
        <w:rPr>
          <w:rFonts w:hint="eastAsia" w:ascii="宋体" w:hAnsi="宋体"/>
          <w:sz w:val="24"/>
          <w:highlight w:val="none"/>
          <w:lang w:val="en-US" w:eastAsia="zh-CN"/>
        </w:rPr>
        <w:t>学院</w:t>
      </w:r>
    </w:p>
    <w:p>
      <w:pPr>
        <w:spacing w:line="440" w:lineRule="exact"/>
        <w:ind w:firstLine="480" w:firstLineChars="200"/>
        <w:rPr>
          <w:rFonts w:hint="eastAsia" w:ascii="宋体" w:hAnsi="宋体"/>
          <w:sz w:val="24"/>
          <w:highlight w:val="none"/>
        </w:rPr>
      </w:pPr>
      <w:r>
        <w:rPr>
          <w:rFonts w:hint="eastAsia" w:ascii="宋体" w:hAnsi="宋体"/>
          <w:sz w:val="24"/>
          <w:highlight w:val="none"/>
        </w:rPr>
        <w:t>开户行：南京银行中山东路支行</w:t>
      </w:r>
    </w:p>
    <w:p>
      <w:pPr>
        <w:spacing w:line="440" w:lineRule="exact"/>
        <w:ind w:firstLine="480" w:firstLineChars="200"/>
        <w:rPr>
          <w:rFonts w:ascii="宋体" w:hAnsi="宋体"/>
          <w:color w:val="FF0000"/>
          <w:sz w:val="24"/>
          <w:highlight w:val="none"/>
          <w:u w:val="single"/>
        </w:rPr>
      </w:pPr>
      <w:r>
        <w:rPr>
          <w:rFonts w:hint="eastAsia" w:ascii="宋体" w:hAnsi="宋体"/>
          <w:sz w:val="24"/>
          <w:highlight w:val="none"/>
        </w:rPr>
        <w:t>账号：088680201091426634</w:t>
      </w:r>
    </w:p>
    <w:p>
      <w:pPr>
        <w:tabs>
          <w:tab w:val="left" w:pos="900"/>
        </w:tabs>
        <w:spacing w:after="143" w:afterLines="50" w:line="560" w:lineRule="exact"/>
        <w:ind w:firstLine="479" w:firstLineChars="199"/>
        <w:rPr>
          <w:rFonts w:ascii="宋体" w:hAnsi="宋体"/>
          <w:b/>
          <w:bCs/>
          <w:color w:val="000000"/>
          <w:sz w:val="24"/>
        </w:rPr>
      </w:pPr>
      <w:r>
        <w:rPr>
          <w:rFonts w:hint="eastAsia" w:ascii="宋体" w:hAnsi="宋体"/>
          <w:b/>
          <w:sz w:val="24"/>
        </w:rPr>
        <w:t>九、</w:t>
      </w:r>
      <w:r>
        <w:rPr>
          <w:rFonts w:hint="eastAsia" w:ascii="宋体" w:hAnsi="宋体"/>
          <w:b/>
          <w:bCs/>
          <w:color w:val="000000"/>
          <w:sz w:val="24"/>
        </w:rPr>
        <w:t>其他说明事项：</w:t>
      </w:r>
    </w:p>
    <w:p>
      <w:pPr>
        <w:spacing w:after="143" w:afterLines="50" w:line="560" w:lineRule="exact"/>
        <w:ind w:left="1" w:firstLine="360" w:firstLineChars="150"/>
        <w:rPr>
          <w:rFonts w:ascii="宋体" w:hAnsi="宋体"/>
          <w:color w:val="000000"/>
          <w:sz w:val="24"/>
        </w:rPr>
      </w:pPr>
      <w:r>
        <w:rPr>
          <w:rFonts w:hint="eastAsia" w:ascii="宋体" w:hAnsi="宋体"/>
          <w:color w:val="000000"/>
          <w:sz w:val="24"/>
        </w:rPr>
        <w:t>（一）本磋商文件中斜体下划线部分为实质性响应条件，为必须遵守的条件，如不满足将作无效响应文件处理。</w:t>
      </w:r>
    </w:p>
    <w:p>
      <w:pPr>
        <w:spacing w:after="143" w:afterLines="50"/>
        <w:ind w:left="1" w:firstLine="477" w:firstLineChars="199"/>
        <w:rPr>
          <w:rFonts w:ascii="宋体" w:hAnsi="宋体"/>
          <w:color w:val="000000"/>
          <w:sz w:val="24"/>
        </w:rPr>
      </w:pPr>
      <w:r>
        <w:rPr>
          <w:rFonts w:hint="eastAsia" w:ascii="宋体" w:hAnsi="宋体"/>
          <w:color w:val="000000"/>
          <w:sz w:val="24"/>
        </w:rPr>
        <w:t xml:space="preserve">                      </w:t>
      </w:r>
    </w:p>
    <w:p>
      <w:pPr>
        <w:spacing w:after="143" w:afterLines="50"/>
        <w:ind w:left="1" w:firstLine="477" w:firstLineChars="199"/>
        <w:rPr>
          <w:rFonts w:ascii="宋体" w:hAnsi="宋体"/>
          <w:color w:val="000000"/>
          <w:sz w:val="24"/>
        </w:rPr>
      </w:pPr>
      <w:r>
        <w:rPr>
          <w:rFonts w:hint="eastAsia" w:ascii="宋体" w:hAnsi="宋体"/>
          <w:color w:val="000000"/>
          <w:sz w:val="24"/>
        </w:rPr>
        <w:t xml:space="preserve">                                                  </w:t>
      </w:r>
    </w:p>
    <w:p>
      <w:pPr>
        <w:spacing w:after="143" w:afterLines="50" w:line="360" w:lineRule="auto"/>
        <w:ind w:firstLine="1104" w:firstLineChars="250"/>
        <w:rPr>
          <w:rFonts w:ascii="宋体" w:hAnsi="宋体"/>
          <w:b/>
          <w:bCs/>
          <w:sz w:val="44"/>
          <w:szCs w:val="44"/>
        </w:rPr>
      </w:pPr>
      <w:bookmarkStart w:id="0" w:name="_Hlt26670330"/>
      <w:bookmarkEnd w:id="0"/>
      <w:bookmarkStart w:id="1" w:name="_Hlt26954810"/>
      <w:bookmarkEnd w:id="1"/>
      <w:bookmarkStart w:id="2" w:name="_Hlt26954824"/>
      <w:bookmarkEnd w:id="2"/>
      <w:bookmarkStart w:id="3" w:name="_Hlt26954907"/>
      <w:bookmarkEnd w:id="3"/>
      <w:bookmarkStart w:id="4" w:name="_Hlt26668836"/>
      <w:bookmarkEnd w:id="4"/>
      <w:bookmarkStart w:id="5" w:name="_Toc61149549"/>
      <w:bookmarkStart w:id="6" w:name="_Toc14577347"/>
      <w:bookmarkStart w:id="7" w:name="_Toc513029209"/>
    </w:p>
    <w:p>
      <w:pPr>
        <w:spacing w:after="143" w:afterLines="50" w:line="360" w:lineRule="auto"/>
        <w:ind w:firstLine="1104" w:firstLineChars="250"/>
        <w:rPr>
          <w:rFonts w:ascii="宋体" w:hAnsi="宋体"/>
          <w:b/>
          <w:bCs/>
          <w:sz w:val="44"/>
          <w:szCs w:val="44"/>
        </w:rPr>
      </w:pPr>
    </w:p>
    <w:p>
      <w:pPr>
        <w:spacing w:after="143" w:afterLines="50" w:line="360" w:lineRule="auto"/>
        <w:ind w:firstLine="1104" w:firstLineChars="250"/>
        <w:rPr>
          <w:rFonts w:ascii="宋体" w:hAnsi="宋体"/>
          <w:b/>
          <w:bCs/>
          <w:sz w:val="44"/>
          <w:szCs w:val="44"/>
        </w:rPr>
      </w:pPr>
    </w:p>
    <w:p>
      <w:pPr>
        <w:spacing w:after="143" w:afterLines="50" w:line="360" w:lineRule="auto"/>
        <w:jc w:val="center"/>
        <w:outlineLvl w:val="0"/>
        <w:rPr>
          <w:rFonts w:ascii="黑体" w:eastAsia="黑体"/>
          <w:b/>
          <w:sz w:val="44"/>
          <w:szCs w:val="44"/>
        </w:rPr>
      </w:pPr>
      <w:r>
        <w:rPr>
          <w:rFonts w:ascii="宋体" w:hAnsi="宋体"/>
          <w:b/>
          <w:bCs/>
          <w:sz w:val="44"/>
          <w:szCs w:val="44"/>
        </w:rPr>
        <w:br w:type="page"/>
      </w:r>
      <w:r>
        <w:rPr>
          <w:rFonts w:hint="eastAsia" w:ascii="黑体" w:eastAsia="黑体"/>
          <w:b/>
          <w:sz w:val="44"/>
          <w:szCs w:val="44"/>
        </w:rPr>
        <w:t>第二章  磋商须知</w:t>
      </w:r>
    </w:p>
    <w:p>
      <w:pPr>
        <w:spacing w:after="143" w:afterLines="50" w:line="360" w:lineRule="auto"/>
        <w:ind w:firstLine="2040" w:firstLineChars="850"/>
        <w:rPr>
          <w:rFonts w:ascii="宋体" w:hAnsi="宋体"/>
          <w:b/>
          <w:bCs/>
          <w:sz w:val="24"/>
        </w:rPr>
      </w:pPr>
      <w:r>
        <w:rPr>
          <w:rFonts w:hint="eastAsia" w:ascii="宋体" w:hAnsi="宋体"/>
          <w:bCs/>
          <w:sz w:val="24"/>
        </w:rPr>
        <w:t>（参加磋商的供应商以下简称“磋商供应商”）</w:t>
      </w:r>
    </w:p>
    <w:bookmarkEnd w:id="5"/>
    <w:bookmarkEnd w:id="6"/>
    <w:bookmarkEnd w:id="7"/>
    <w:p>
      <w:pPr>
        <w:tabs>
          <w:tab w:val="left" w:pos="900"/>
        </w:tabs>
        <w:spacing w:after="143" w:afterLines="50" w:line="560" w:lineRule="exact"/>
        <w:ind w:firstLine="585" w:firstLineChars="243"/>
        <w:rPr>
          <w:rFonts w:ascii="宋体" w:hAnsi="宋体"/>
          <w:b/>
          <w:sz w:val="24"/>
        </w:rPr>
      </w:pPr>
      <w:r>
        <w:rPr>
          <w:rFonts w:hint="eastAsia" w:ascii="宋体" w:hAnsi="宋体"/>
          <w:b/>
          <w:sz w:val="24"/>
        </w:rPr>
        <w:t>一、总则</w:t>
      </w:r>
    </w:p>
    <w:p>
      <w:pPr>
        <w:tabs>
          <w:tab w:val="left" w:pos="900"/>
        </w:tabs>
        <w:spacing w:after="143" w:afterLines="50" w:line="560" w:lineRule="exact"/>
        <w:ind w:firstLine="600" w:firstLineChars="250"/>
        <w:rPr>
          <w:rFonts w:ascii="宋体" w:hAnsi="宋体"/>
          <w:sz w:val="24"/>
        </w:rPr>
      </w:pPr>
      <w:r>
        <w:rPr>
          <w:rFonts w:hint="eastAsia" w:ascii="宋体" w:hAnsi="宋体"/>
          <w:sz w:val="24"/>
        </w:rPr>
        <w:t>1、适用范围</w:t>
      </w:r>
    </w:p>
    <w:p>
      <w:pPr>
        <w:tabs>
          <w:tab w:val="left" w:pos="900"/>
        </w:tabs>
        <w:spacing w:after="143" w:afterLines="50" w:line="560" w:lineRule="exact"/>
        <w:ind w:firstLine="600" w:firstLineChars="250"/>
        <w:rPr>
          <w:rFonts w:ascii="宋体" w:hAnsi="宋体"/>
          <w:sz w:val="24"/>
        </w:rPr>
      </w:pPr>
      <w:r>
        <w:rPr>
          <w:rFonts w:hint="eastAsia" w:ascii="宋体" w:hAnsi="宋体"/>
          <w:sz w:val="24"/>
        </w:rPr>
        <w:t>1.1 本磋商文件（以下简称磋商文件）仅适用此项目。</w:t>
      </w:r>
    </w:p>
    <w:p>
      <w:pPr>
        <w:tabs>
          <w:tab w:val="left" w:pos="900"/>
        </w:tabs>
        <w:spacing w:after="143" w:afterLines="50" w:line="560" w:lineRule="exact"/>
        <w:ind w:firstLine="600" w:firstLineChars="250"/>
        <w:rPr>
          <w:rFonts w:ascii="宋体" w:hAnsi="宋体"/>
          <w:sz w:val="24"/>
        </w:rPr>
      </w:pPr>
      <w:r>
        <w:rPr>
          <w:rFonts w:hint="eastAsia" w:ascii="宋体" w:hAnsi="宋体"/>
          <w:sz w:val="24"/>
        </w:rPr>
        <w:t>1.2 本项目按照项目分包，分别确定各分包成交供应商。</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 xml:space="preserve"> 2、项目采购方式</w:t>
      </w:r>
    </w:p>
    <w:p>
      <w:pPr>
        <w:tabs>
          <w:tab w:val="left" w:pos="900"/>
        </w:tabs>
        <w:spacing w:after="143" w:afterLines="50" w:line="560" w:lineRule="exact"/>
        <w:ind w:firstLine="597" w:firstLineChars="249"/>
        <w:rPr>
          <w:rFonts w:ascii="宋体" w:hAnsi="宋体"/>
          <w:sz w:val="24"/>
        </w:rPr>
      </w:pPr>
      <w:r>
        <w:rPr>
          <w:rFonts w:hint="eastAsia" w:ascii="宋体" w:hAnsi="宋体"/>
          <w:sz w:val="24"/>
        </w:rPr>
        <w:t>本次采购采取磋商的方式。</w:t>
      </w:r>
    </w:p>
    <w:p>
      <w:pPr>
        <w:tabs>
          <w:tab w:val="left" w:pos="900"/>
        </w:tabs>
        <w:spacing w:after="143" w:afterLines="50" w:line="560" w:lineRule="exact"/>
        <w:ind w:firstLine="597" w:firstLineChars="249"/>
        <w:rPr>
          <w:rFonts w:ascii="宋体" w:hAnsi="宋体"/>
          <w:sz w:val="24"/>
        </w:rPr>
      </w:pPr>
      <w:r>
        <w:rPr>
          <w:rFonts w:hint="eastAsia" w:ascii="宋体" w:hAnsi="宋体"/>
          <w:sz w:val="24"/>
        </w:rPr>
        <w:t>3、合格的磋商供应商</w:t>
      </w:r>
    </w:p>
    <w:p>
      <w:pPr>
        <w:tabs>
          <w:tab w:val="left" w:pos="900"/>
        </w:tabs>
        <w:spacing w:after="143" w:afterLines="50" w:line="560" w:lineRule="exact"/>
        <w:ind w:firstLine="597" w:firstLineChars="249"/>
        <w:rPr>
          <w:rFonts w:ascii="宋体" w:hAnsi="宋体"/>
          <w:sz w:val="24"/>
        </w:rPr>
      </w:pPr>
      <w:r>
        <w:rPr>
          <w:rFonts w:hint="eastAsia" w:ascii="宋体" w:hAnsi="宋体"/>
          <w:sz w:val="24"/>
        </w:rPr>
        <w:t>3.1满足本磋商文件“采购邀请”中合格磋商供应商资格要求的规定。</w:t>
      </w:r>
    </w:p>
    <w:p>
      <w:pPr>
        <w:tabs>
          <w:tab w:val="left" w:pos="900"/>
        </w:tabs>
        <w:spacing w:after="143" w:afterLines="50" w:line="560" w:lineRule="exact"/>
        <w:ind w:firstLine="597" w:firstLineChars="249"/>
        <w:rPr>
          <w:rFonts w:ascii="宋体" w:hAnsi="宋体"/>
          <w:sz w:val="24"/>
        </w:rPr>
      </w:pPr>
      <w:r>
        <w:rPr>
          <w:rFonts w:hint="eastAsia" w:ascii="宋体" w:hAnsi="宋体"/>
          <w:sz w:val="24"/>
        </w:rPr>
        <w:t>3.2 满足本磋商文件实质性要求和条件的规定。</w:t>
      </w:r>
    </w:p>
    <w:p>
      <w:pPr>
        <w:tabs>
          <w:tab w:val="left" w:pos="900"/>
        </w:tabs>
        <w:spacing w:after="143" w:afterLines="50" w:line="560" w:lineRule="exact"/>
        <w:ind w:firstLine="597" w:firstLineChars="249"/>
        <w:rPr>
          <w:rFonts w:ascii="宋体" w:hAnsi="宋体"/>
          <w:sz w:val="24"/>
        </w:rPr>
      </w:pPr>
      <w:r>
        <w:rPr>
          <w:rFonts w:hint="eastAsia" w:ascii="宋体" w:hAnsi="宋体"/>
          <w:sz w:val="24"/>
        </w:rPr>
        <w:t>4、参加磋商费用</w:t>
      </w:r>
    </w:p>
    <w:p>
      <w:pPr>
        <w:tabs>
          <w:tab w:val="left" w:pos="900"/>
        </w:tabs>
        <w:spacing w:after="143" w:afterLines="50" w:line="560" w:lineRule="exact"/>
        <w:ind w:left="359" w:leftChars="171" w:firstLine="237" w:firstLineChars="99"/>
        <w:rPr>
          <w:rFonts w:ascii="宋体" w:hAnsi="宋体"/>
          <w:sz w:val="24"/>
        </w:rPr>
      </w:pPr>
      <w:r>
        <w:rPr>
          <w:rFonts w:hint="eastAsia" w:ascii="宋体" w:hAnsi="宋体"/>
          <w:sz w:val="24"/>
        </w:rPr>
        <w:t>4.1参加磋商供应商应自行承担所有与参加磋商有关的费用。不论最终的成交结果如</w:t>
      </w:r>
    </w:p>
    <w:p>
      <w:pPr>
        <w:tabs>
          <w:tab w:val="left" w:pos="900"/>
        </w:tabs>
        <w:spacing w:after="143" w:afterLines="50" w:line="560" w:lineRule="exact"/>
        <w:ind w:left="120" w:leftChars="57"/>
        <w:rPr>
          <w:rFonts w:ascii="宋体" w:hAnsi="宋体"/>
          <w:sz w:val="24"/>
        </w:rPr>
      </w:pPr>
      <w:r>
        <w:rPr>
          <w:rFonts w:hint="eastAsia" w:ascii="宋体" w:hAnsi="宋体"/>
          <w:sz w:val="24"/>
        </w:rPr>
        <w:t>何，采购人在任何情况下均无义务和责任承担这些费用。</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5、磋商文件的约束力</w:t>
      </w:r>
    </w:p>
    <w:p>
      <w:pPr>
        <w:tabs>
          <w:tab w:val="left" w:pos="900"/>
        </w:tabs>
        <w:spacing w:after="143" w:afterLines="50" w:line="560" w:lineRule="exact"/>
        <w:ind w:left="120" w:leftChars="57" w:firstLine="477" w:firstLineChars="199"/>
        <w:rPr>
          <w:rFonts w:ascii="宋体" w:hAnsi="宋体"/>
          <w:sz w:val="24"/>
        </w:rPr>
      </w:pPr>
      <w:r>
        <w:rPr>
          <w:rFonts w:hint="eastAsia" w:ascii="宋体" w:hAnsi="宋体"/>
          <w:sz w:val="24"/>
        </w:rPr>
        <w:t>供应商一旦下载了本磋商文件并决定参加磋商，即被认为接受了本磋商文件的规定和约束，并且视为自磋商公告期限届满之日起已经知道或应当知道自身权益是否受到了损害。</w:t>
      </w:r>
    </w:p>
    <w:p>
      <w:pPr>
        <w:tabs>
          <w:tab w:val="left" w:pos="900"/>
        </w:tabs>
        <w:spacing w:after="143" w:afterLines="50" w:line="560" w:lineRule="exact"/>
        <w:ind w:firstLine="479" w:firstLineChars="199"/>
        <w:rPr>
          <w:rFonts w:ascii="宋体" w:hAnsi="宋体"/>
          <w:b/>
          <w:sz w:val="24"/>
        </w:rPr>
      </w:pPr>
      <w:bookmarkStart w:id="8" w:name="_Toc513029213"/>
      <w:bookmarkStart w:id="9" w:name="_Toc14577351"/>
      <w:bookmarkStart w:id="10" w:name="_Toc61149553"/>
      <w:bookmarkStart w:id="11" w:name="_Toc462564072"/>
      <w:r>
        <w:rPr>
          <w:rFonts w:hint="eastAsia" w:ascii="宋体" w:hAnsi="宋体"/>
          <w:b/>
          <w:sz w:val="24"/>
        </w:rPr>
        <w:t>二、磋商响应文件的编制</w:t>
      </w:r>
      <w:bookmarkEnd w:id="8"/>
      <w:bookmarkEnd w:id="9"/>
      <w:bookmarkEnd w:id="10"/>
      <w:bookmarkEnd w:id="11"/>
      <w:r>
        <w:rPr>
          <w:rFonts w:hint="eastAsia" w:ascii="宋体" w:hAnsi="宋体"/>
          <w:b/>
          <w:sz w:val="24"/>
        </w:rPr>
        <w:t>及保证金收取</w:t>
      </w:r>
    </w:p>
    <w:p>
      <w:pPr>
        <w:tabs>
          <w:tab w:val="left" w:pos="900"/>
        </w:tabs>
        <w:spacing w:after="143" w:afterLines="50" w:line="560" w:lineRule="exact"/>
        <w:ind w:firstLine="597" w:firstLineChars="249"/>
        <w:rPr>
          <w:rFonts w:ascii="宋体" w:hAnsi="宋体"/>
          <w:sz w:val="24"/>
        </w:rPr>
      </w:pPr>
      <w:bookmarkStart w:id="12" w:name="_Toc513029223"/>
      <w:bookmarkStart w:id="13" w:name="_Toc14577361"/>
      <w:bookmarkStart w:id="14" w:name="_Toc61149561"/>
      <w:r>
        <w:rPr>
          <w:rFonts w:hint="eastAsia" w:ascii="宋体" w:hAnsi="宋体"/>
          <w:sz w:val="24"/>
        </w:rPr>
        <w:t>1、磋商响应文件份数和签署</w:t>
      </w:r>
      <w:bookmarkEnd w:id="12"/>
      <w:bookmarkEnd w:id="13"/>
      <w:bookmarkEnd w:id="14"/>
    </w:p>
    <w:p>
      <w:pPr>
        <w:tabs>
          <w:tab w:val="left" w:pos="900"/>
        </w:tabs>
        <w:spacing w:after="143" w:afterLines="50" w:line="560" w:lineRule="exact"/>
        <w:ind w:left="120" w:leftChars="57" w:firstLine="477" w:firstLineChars="199"/>
        <w:rPr>
          <w:rFonts w:ascii="宋体" w:hAnsi="宋体"/>
          <w:sz w:val="24"/>
        </w:rPr>
      </w:pPr>
      <w:r>
        <w:rPr>
          <w:rFonts w:hint="eastAsia" w:ascii="宋体" w:hAnsi="宋体"/>
          <w:sz w:val="24"/>
        </w:rPr>
        <w:t>1.1磋商供应商应严格按照采购邀请要求准备磋商响应文件（以下简称响应文件），每份响应文件须清楚地标明“正本”或“副本”字样。</w:t>
      </w:r>
    </w:p>
    <w:p>
      <w:pPr>
        <w:snapToGrid w:val="0"/>
        <w:spacing w:line="560" w:lineRule="exact"/>
        <w:ind w:firstLine="480" w:firstLineChars="200"/>
        <w:rPr>
          <w:rFonts w:ascii="仿宋" w:hAnsi="仿宋" w:eastAsia="仿宋"/>
          <w:sz w:val="28"/>
          <w:szCs w:val="28"/>
        </w:rPr>
      </w:pPr>
      <w:r>
        <w:rPr>
          <w:rFonts w:hint="eastAsia" w:ascii="宋体" w:hAnsi="宋体"/>
          <w:sz w:val="24"/>
        </w:rPr>
        <w:t>响应文件的正本和所有的副本均需打印或复印。响应文件正本中，除磋商文件规定的可提交复印件外，其他文件均须提交原件，文字材料需打印或用不褪色墨水书写，响应文件正本须经法定代表人或授权代表签字和加盖磋商供应商公章。本磋商文件所表述（指定）的公章是指刻有供应商法定名称的印章，不包括合同、财务、税务、发票等形式的业务专用章。</w:t>
      </w:r>
    </w:p>
    <w:p>
      <w:pPr>
        <w:tabs>
          <w:tab w:val="left" w:pos="900"/>
        </w:tabs>
        <w:spacing w:after="143" w:afterLines="50" w:line="560" w:lineRule="exact"/>
        <w:ind w:left="120" w:leftChars="57" w:firstLine="477" w:firstLineChars="199"/>
        <w:rPr>
          <w:rFonts w:ascii="宋体" w:hAnsi="宋体"/>
          <w:sz w:val="24"/>
        </w:rPr>
      </w:pPr>
      <w:r>
        <w:rPr>
          <w:rFonts w:hint="eastAsia" w:ascii="宋体" w:hAnsi="宋体"/>
          <w:sz w:val="24"/>
        </w:rPr>
        <w:t>1.2 除磋商供应商对错处做必要修改外，响应文件不得行间插字、涂改或增删。如有修改错漏处，必须由响应文件签署人签字或盖章。</w:t>
      </w:r>
    </w:p>
    <w:p>
      <w:pPr>
        <w:tabs>
          <w:tab w:val="left" w:pos="900"/>
        </w:tabs>
        <w:spacing w:after="143" w:afterLines="50" w:line="560" w:lineRule="exact"/>
        <w:ind w:firstLine="597" w:firstLineChars="249"/>
        <w:rPr>
          <w:rFonts w:ascii="宋体" w:hAnsi="宋体"/>
          <w:sz w:val="24"/>
        </w:rPr>
      </w:pPr>
      <w:bookmarkStart w:id="15" w:name="_Hlt26954834"/>
      <w:bookmarkEnd w:id="15"/>
      <w:bookmarkStart w:id="16" w:name="_Toc14577353"/>
      <w:bookmarkStart w:id="17" w:name="_Toc61149555"/>
      <w:bookmarkStart w:id="18" w:name="_Toc462564074"/>
      <w:bookmarkStart w:id="19" w:name="_Toc513029215"/>
      <w:bookmarkStart w:id="20" w:name="_Toc14577352"/>
      <w:bookmarkStart w:id="21" w:name="_Toc61149554"/>
      <w:bookmarkStart w:id="22" w:name="_Toc513029214"/>
      <w:bookmarkStart w:id="23" w:name="_Toc462564073"/>
      <w:r>
        <w:rPr>
          <w:rFonts w:hint="eastAsia" w:ascii="宋体" w:hAnsi="宋体"/>
          <w:sz w:val="24"/>
        </w:rPr>
        <w:t>2、响应文件</w:t>
      </w:r>
      <w:bookmarkEnd w:id="16"/>
      <w:bookmarkEnd w:id="17"/>
      <w:bookmarkEnd w:id="18"/>
      <w:bookmarkEnd w:id="19"/>
      <w:r>
        <w:rPr>
          <w:rFonts w:hint="eastAsia" w:ascii="宋体" w:hAnsi="宋体"/>
          <w:sz w:val="24"/>
        </w:rPr>
        <w:t>编制要求</w:t>
      </w:r>
    </w:p>
    <w:bookmarkEnd w:id="20"/>
    <w:bookmarkEnd w:id="21"/>
    <w:bookmarkEnd w:id="22"/>
    <w:bookmarkEnd w:id="23"/>
    <w:p>
      <w:pPr>
        <w:tabs>
          <w:tab w:val="left" w:pos="900"/>
        </w:tabs>
        <w:spacing w:after="143" w:afterLines="50" w:line="560" w:lineRule="exact"/>
        <w:ind w:left="120" w:leftChars="57" w:firstLine="477" w:firstLineChars="199"/>
        <w:rPr>
          <w:rFonts w:ascii="宋体" w:hAnsi="宋体"/>
          <w:sz w:val="24"/>
        </w:rPr>
      </w:pPr>
      <w:r>
        <w:rPr>
          <w:rFonts w:hint="eastAsia" w:ascii="宋体" w:hAnsi="宋体"/>
          <w:sz w:val="24"/>
        </w:rPr>
        <w:t>2.1磋商供应商提交的响应文件以及磋商供应商与采购人就有关磋商的所有来往函电均应使用简体中文。磋商文件中既有中文也有外文的，以中文意义为准。</w:t>
      </w:r>
    </w:p>
    <w:p>
      <w:pPr>
        <w:tabs>
          <w:tab w:val="left" w:pos="900"/>
        </w:tabs>
        <w:spacing w:after="143" w:afterLines="50" w:line="560" w:lineRule="exact"/>
        <w:ind w:left="120" w:leftChars="57" w:firstLine="477" w:firstLineChars="199"/>
        <w:rPr>
          <w:rFonts w:ascii="宋体" w:hAnsi="宋体"/>
          <w:sz w:val="24"/>
        </w:rPr>
      </w:pPr>
      <w:r>
        <w:rPr>
          <w:rFonts w:hint="eastAsia" w:ascii="宋体" w:hAnsi="宋体"/>
          <w:sz w:val="24"/>
        </w:rPr>
        <w:t>2.2 除技术性能另有规定外，响应文件所使用的度量衡单位，均须采用国家法定计量单位。</w:t>
      </w:r>
    </w:p>
    <w:p>
      <w:pPr>
        <w:tabs>
          <w:tab w:val="left" w:pos="900"/>
        </w:tabs>
        <w:spacing w:after="143" w:afterLines="50" w:line="560" w:lineRule="exact"/>
        <w:ind w:firstLine="597" w:firstLineChars="249"/>
        <w:rPr>
          <w:rFonts w:ascii="宋体" w:hAnsi="宋体"/>
          <w:sz w:val="24"/>
        </w:rPr>
      </w:pPr>
      <w:bookmarkStart w:id="24" w:name="_Hlt26670357"/>
      <w:bookmarkEnd w:id="24"/>
      <w:bookmarkStart w:id="25" w:name="_Hlt26954836"/>
      <w:bookmarkEnd w:id="25"/>
      <w:bookmarkStart w:id="26" w:name="_Toc14577357"/>
      <w:bookmarkStart w:id="27" w:name="_Toc513029219"/>
      <w:bookmarkStart w:id="28" w:name="_Toc61149558"/>
      <w:bookmarkStart w:id="29" w:name="_Toc14577355"/>
      <w:bookmarkStart w:id="30" w:name="_Toc513029217"/>
      <w:bookmarkStart w:id="31" w:name="_Toc61149557"/>
      <w:r>
        <w:rPr>
          <w:rFonts w:hint="eastAsia" w:ascii="宋体" w:hAnsi="宋体"/>
          <w:sz w:val="24"/>
        </w:rPr>
        <w:t>3、参加磋商供应商资格的文件</w:t>
      </w:r>
      <w:bookmarkEnd w:id="26"/>
      <w:bookmarkEnd w:id="27"/>
      <w:bookmarkEnd w:id="28"/>
      <w:r>
        <w:rPr>
          <w:rFonts w:hint="eastAsia" w:ascii="宋体" w:hAnsi="宋体"/>
          <w:sz w:val="24"/>
        </w:rPr>
        <w:t>证明</w:t>
      </w:r>
    </w:p>
    <w:p>
      <w:pPr>
        <w:tabs>
          <w:tab w:val="left" w:pos="900"/>
        </w:tabs>
        <w:spacing w:after="143" w:afterLines="50" w:line="560" w:lineRule="exact"/>
        <w:ind w:left="120" w:leftChars="57" w:firstLine="477" w:firstLineChars="199"/>
        <w:rPr>
          <w:rFonts w:ascii="宋体" w:hAnsi="宋体"/>
          <w:sz w:val="24"/>
        </w:rPr>
      </w:pPr>
      <w:bookmarkStart w:id="32" w:name="_Hlt26668999"/>
      <w:bookmarkEnd w:id="32"/>
      <w:r>
        <w:rPr>
          <w:rFonts w:hint="eastAsia" w:ascii="宋体" w:hAnsi="宋体"/>
          <w:sz w:val="24"/>
        </w:rPr>
        <w:t>3.1磋商供应商应提交证明其有资格参加磋商和成交后有能力独立履行合同的文件，并作为其响应文件的一部分。</w:t>
      </w:r>
    </w:p>
    <w:p>
      <w:pPr>
        <w:tabs>
          <w:tab w:val="left" w:pos="900"/>
        </w:tabs>
        <w:spacing w:after="143" w:afterLines="50" w:line="560" w:lineRule="exact"/>
        <w:ind w:left="120" w:leftChars="57" w:firstLine="477" w:firstLineChars="199"/>
        <w:rPr>
          <w:rFonts w:ascii="宋体" w:hAnsi="宋体"/>
          <w:sz w:val="24"/>
        </w:rPr>
      </w:pPr>
      <w:r>
        <w:rPr>
          <w:rFonts w:hint="eastAsia" w:ascii="宋体" w:hAnsi="宋体"/>
          <w:sz w:val="24"/>
        </w:rPr>
        <w:t>3.2磋商供应商除必须具有履行合同所需提供的设备以及服务的能力外，还必须具备相应的财务、技术方面的能力。</w:t>
      </w:r>
    </w:p>
    <w:p>
      <w:pPr>
        <w:tabs>
          <w:tab w:val="left" w:pos="900"/>
        </w:tabs>
        <w:spacing w:after="143" w:afterLines="50" w:line="560" w:lineRule="exact"/>
        <w:ind w:firstLine="597" w:firstLineChars="249"/>
        <w:rPr>
          <w:rFonts w:ascii="宋体" w:hAnsi="宋体"/>
          <w:sz w:val="24"/>
        </w:rPr>
      </w:pPr>
      <w:r>
        <w:rPr>
          <w:rFonts w:hint="eastAsia" w:ascii="宋体" w:hAnsi="宋体"/>
          <w:sz w:val="24"/>
        </w:rPr>
        <w:t>3.3磋商供应商应填写并提交磋商文件所附的“资格证明文件”。</w:t>
      </w:r>
    </w:p>
    <w:p>
      <w:pPr>
        <w:tabs>
          <w:tab w:val="left" w:pos="900"/>
        </w:tabs>
        <w:spacing w:after="143" w:afterLines="50" w:line="560" w:lineRule="exact"/>
        <w:ind w:firstLine="600" w:firstLineChars="250"/>
        <w:rPr>
          <w:rFonts w:ascii="宋体" w:hAnsi="宋体"/>
          <w:sz w:val="24"/>
        </w:rPr>
      </w:pPr>
      <w:r>
        <w:rPr>
          <w:rFonts w:hint="eastAsia" w:ascii="宋体" w:hAnsi="宋体"/>
          <w:sz w:val="24"/>
        </w:rPr>
        <w:t>4、磋商响应报价</w:t>
      </w:r>
      <w:bookmarkEnd w:id="29"/>
      <w:bookmarkEnd w:id="30"/>
      <w:bookmarkStart w:id="33" w:name="_Hlt26670373"/>
      <w:bookmarkEnd w:id="33"/>
      <w:r>
        <w:rPr>
          <w:rFonts w:hint="eastAsia" w:ascii="宋体" w:hAnsi="宋体"/>
          <w:sz w:val="24"/>
        </w:rPr>
        <w:t>表</w:t>
      </w:r>
      <w:bookmarkEnd w:id="31"/>
    </w:p>
    <w:p>
      <w:pPr>
        <w:tabs>
          <w:tab w:val="left" w:pos="900"/>
        </w:tabs>
        <w:spacing w:after="143" w:afterLines="50" w:line="560" w:lineRule="exact"/>
        <w:ind w:left="120" w:leftChars="57" w:firstLine="480" w:firstLineChars="200"/>
        <w:rPr>
          <w:rFonts w:ascii="宋体" w:hAnsi="宋体"/>
          <w:sz w:val="24"/>
        </w:rPr>
      </w:pPr>
      <w:r>
        <w:rPr>
          <w:rFonts w:hint="eastAsia" w:ascii="宋体" w:hAnsi="宋体"/>
          <w:sz w:val="24"/>
        </w:rPr>
        <w:t>4.1</w:t>
      </w:r>
      <w:r>
        <w:rPr>
          <w:rFonts w:hint="eastAsia" w:ascii="宋体" w:hAnsi="宋体"/>
          <w:color w:val="000000"/>
          <w:sz w:val="24"/>
        </w:rPr>
        <w:t>磋商供应商应按照磋商文件规定格式填报磋商响应报价表（含分项报价）。每项产品或服务只允许有一个报价，任何有选择的报价将不予接受，磋商文件中</w:t>
      </w:r>
      <w:r>
        <w:rPr>
          <w:rFonts w:hint="eastAsia" w:ascii="宋体" w:hAnsi="宋体"/>
          <w:sz w:val="24"/>
        </w:rPr>
        <w:t>另有规定的按规定执行。</w:t>
      </w:r>
    </w:p>
    <w:p>
      <w:pPr>
        <w:tabs>
          <w:tab w:val="left" w:pos="900"/>
        </w:tabs>
        <w:spacing w:after="143" w:afterLines="50" w:line="560" w:lineRule="exact"/>
        <w:ind w:firstLine="480" w:firstLineChars="200"/>
        <w:rPr>
          <w:rFonts w:ascii="宋体" w:hAnsi="宋体"/>
          <w:sz w:val="24"/>
        </w:rPr>
      </w:pPr>
      <w:r>
        <w:rPr>
          <w:rFonts w:hint="eastAsia" w:ascii="宋体" w:hAnsi="宋体"/>
          <w:sz w:val="24"/>
        </w:rPr>
        <w:t>4.2标的物</w:t>
      </w:r>
    </w:p>
    <w:p>
      <w:pPr>
        <w:tabs>
          <w:tab w:val="left" w:pos="900"/>
        </w:tabs>
        <w:spacing w:after="143" w:afterLines="50" w:line="560" w:lineRule="exact"/>
        <w:ind w:firstLine="480" w:firstLineChars="200"/>
        <w:rPr>
          <w:rFonts w:ascii="宋体" w:hAnsi="宋体"/>
          <w:sz w:val="24"/>
        </w:rPr>
      </w:pPr>
      <w:r>
        <w:rPr>
          <w:rFonts w:hint="eastAsia" w:ascii="宋体" w:hAnsi="宋体"/>
          <w:sz w:val="24"/>
        </w:rPr>
        <w:t>详见项目需求。</w:t>
      </w:r>
    </w:p>
    <w:p>
      <w:pPr>
        <w:tabs>
          <w:tab w:val="left" w:pos="900"/>
        </w:tabs>
        <w:spacing w:after="143" w:afterLines="50" w:line="560" w:lineRule="exact"/>
        <w:ind w:firstLine="480" w:firstLineChars="200"/>
        <w:rPr>
          <w:rFonts w:ascii="宋体" w:hAnsi="宋体"/>
          <w:sz w:val="24"/>
        </w:rPr>
      </w:pPr>
      <w:r>
        <w:rPr>
          <w:rFonts w:hint="eastAsia" w:ascii="宋体" w:hAnsi="宋体"/>
          <w:sz w:val="24"/>
        </w:rPr>
        <w:t>4.3有关费用处理</w:t>
      </w:r>
    </w:p>
    <w:p>
      <w:pPr>
        <w:tabs>
          <w:tab w:val="left" w:pos="900"/>
        </w:tabs>
        <w:spacing w:after="143" w:afterLines="50" w:line="560" w:lineRule="exact"/>
        <w:ind w:firstLine="480" w:firstLineChars="200"/>
        <w:rPr>
          <w:rFonts w:ascii="宋体" w:hAnsi="宋体"/>
          <w:sz w:val="24"/>
        </w:rPr>
      </w:pPr>
      <w:r>
        <w:rPr>
          <w:rFonts w:hint="eastAsia" w:ascii="宋体" w:hAnsi="宋体"/>
          <w:sz w:val="24"/>
        </w:rPr>
        <w:t>本次采购磋商供应商的报价应包括为完成本项目发生的所有费用，本磋商文件中另有规定的除外。</w:t>
      </w:r>
    </w:p>
    <w:p>
      <w:pPr>
        <w:tabs>
          <w:tab w:val="left" w:pos="900"/>
        </w:tabs>
        <w:spacing w:after="143" w:afterLines="50" w:line="560" w:lineRule="exact"/>
        <w:ind w:firstLine="480" w:firstLineChars="200"/>
        <w:rPr>
          <w:rFonts w:ascii="宋体" w:hAnsi="宋体"/>
          <w:sz w:val="24"/>
        </w:rPr>
      </w:pPr>
      <w:r>
        <w:rPr>
          <w:rFonts w:hint="eastAsia" w:ascii="宋体" w:hAnsi="宋体"/>
          <w:sz w:val="24"/>
        </w:rPr>
        <w:t>4.4其它费用处理</w:t>
      </w:r>
    </w:p>
    <w:p>
      <w:pPr>
        <w:tabs>
          <w:tab w:val="left" w:pos="900"/>
        </w:tabs>
        <w:spacing w:after="143" w:afterLines="50" w:line="560" w:lineRule="exact"/>
        <w:ind w:firstLine="480" w:firstLineChars="200"/>
        <w:rPr>
          <w:rFonts w:ascii="宋体" w:hAnsi="宋体"/>
          <w:sz w:val="24"/>
        </w:rPr>
      </w:pPr>
      <w:r>
        <w:rPr>
          <w:rFonts w:hint="eastAsia" w:ascii="宋体" w:hAnsi="宋体"/>
          <w:sz w:val="24"/>
        </w:rPr>
        <w:t>磋商文件未列明，而磋商供应商认为必须的费用也须列入报价。</w:t>
      </w:r>
    </w:p>
    <w:p>
      <w:pPr>
        <w:tabs>
          <w:tab w:val="left" w:pos="900"/>
        </w:tabs>
        <w:spacing w:after="143" w:afterLines="50" w:line="560" w:lineRule="exact"/>
        <w:ind w:firstLine="480" w:firstLineChars="200"/>
        <w:rPr>
          <w:rFonts w:ascii="宋体" w:hAnsi="宋体"/>
          <w:sz w:val="24"/>
        </w:rPr>
      </w:pPr>
      <w:r>
        <w:rPr>
          <w:rFonts w:hint="eastAsia" w:ascii="宋体" w:hAnsi="宋体"/>
          <w:sz w:val="24"/>
        </w:rPr>
        <w:t>4.5报价采用的货币</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响应文件中的单价和总价，无特殊规定的采用人民币报价，以元为单位标注。磋商文件中另有规定的按规定执行。</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4.6 磋商响应报价表上的价格应按磋商文件规定填写。</w:t>
      </w:r>
    </w:p>
    <w:p>
      <w:pPr>
        <w:tabs>
          <w:tab w:val="left" w:pos="900"/>
        </w:tabs>
        <w:spacing w:after="143" w:afterLines="50" w:line="560" w:lineRule="exact"/>
        <w:ind w:firstLine="477" w:firstLineChars="199"/>
        <w:rPr>
          <w:rFonts w:ascii="宋体" w:hAnsi="宋体"/>
          <w:sz w:val="24"/>
        </w:rPr>
      </w:pPr>
      <w:bookmarkStart w:id="34" w:name="_Hlt26954846"/>
      <w:bookmarkEnd w:id="34"/>
      <w:bookmarkStart w:id="35" w:name="_Hlt26670486"/>
      <w:bookmarkEnd w:id="35"/>
      <w:bookmarkStart w:id="36" w:name="_Hlt26954842"/>
      <w:bookmarkEnd w:id="36"/>
      <w:bookmarkStart w:id="37" w:name="_Hlt26670425"/>
      <w:bookmarkEnd w:id="37"/>
      <w:bookmarkStart w:id="38" w:name="_Hlt26668983"/>
      <w:bookmarkEnd w:id="38"/>
      <w:bookmarkStart w:id="39" w:name="_Hlt26670403"/>
      <w:bookmarkEnd w:id="39"/>
      <w:bookmarkStart w:id="40" w:name="_Hlt26954844"/>
      <w:bookmarkEnd w:id="40"/>
      <w:bookmarkStart w:id="41" w:name="_Hlt26954731"/>
      <w:bookmarkEnd w:id="41"/>
      <w:bookmarkStart w:id="42" w:name="_Hlt26670482"/>
      <w:bookmarkEnd w:id="42"/>
      <w:bookmarkStart w:id="43" w:name="_Hlt26954848"/>
      <w:bookmarkEnd w:id="43"/>
      <w:bookmarkStart w:id="44" w:name="_Toc513029221"/>
      <w:bookmarkStart w:id="45" w:name="_Toc14577359"/>
      <w:bookmarkStart w:id="46" w:name="_Toc61149559"/>
      <w:r>
        <w:rPr>
          <w:rFonts w:hint="eastAsia" w:ascii="宋体" w:hAnsi="宋体"/>
          <w:sz w:val="24"/>
        </w:rPr>
        <w:t>5、项目需求响应方案</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5.1提供为完成本项目的总体实施方案。</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5.2对磋商文件中项目需求的技术与商务条款要求逐项作出应答，并提供依据或说明。</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5.3磋商供应商认为需要的其他技术文件或说明。</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6、磋商保证金</w:t>
      </w:r>
      <w:bookmarkEnd w:id="44"/>
      <w:bookmarkEnd w:id="45"/>
      <w:bookmarkEnd w:id="46"/>
    </w:p>
    <w:p>
      <w:pPr>
        <w:tabs>
          <w:tab w:val="left" w:pos="900"/>
        </w:tabs>
        <w:spacing w:after="143" w:afterLines="50" w:line="560" w:lineRule="exact"/>
        <w:ind w:firstLine="477" w:firstLineChars="199"/>
        <w:rPr>
          <w:rFonts w:ascii="宋体" w:hAnsi="宋体"/>
          <w:sz w:val="24"/>
        </w:rPr>
      </w:pPr>
      <w:r>
        <w:rPr>
          <w:rFonts w:hint="eastAsia" w:ascii="宋体" w:hAnsi="宋体"/>
          <w:sz w:val="24"/>
        </w:rPr>
        <w:t>6.1磋商保证金是为了保护采购人免遭因磋商供应商的行为而蒙受的损失，采购人因磋商供应商的行为受到损害时，采购中心可根据相关规定处理。</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6.2参加磋商采购所需交纳的保证金必须是人民币，磋商保证金的交纳形式见采购邀请。</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6.3在磋商时，对在响应文件递交截止时间以前未按磋商文件要求提交磋商保证金的响应文件，视其为无效响应文件而予以拒绝。</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6.4未成交供应商的磋商保证金，将在规定的磋商期满后自行办理退还手续，不计利息。</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6.5成交候选供应商的磋商保证金，如转为履约保证金的，在履约结束后予以退还，不计利息。</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6.6下列任何情况发生时，磋商保证金不予退还：</w:t>
      </w:r>
    </w:p>
    <w:p>
      <w:pPr>
        <w:tabs>
          <w:tab w:val="left" w:pos="900"/>
        </w:tabs>
        <w:spacing w:after="143" w:afterLines="50" w:line="560" w:lineRule="exact"/>
        <w:ind w:firstLine="360" w:firstLineChars="150"/>
        <w:rPr>
          <w:rFonts w:ascii="宋体" w:hAnsi="宋体"/>
          <w:sz w:val="24"/>
        </w:rPr>
      </w:pPr>
      <w:r>
        <w:rPr>
          <w:rFonts w:hint="eastAsia" w:ascii="宋体" w:hAnsi="宋体"/>
          <w:sz w:val="24"/>
        </w:rPr>
        <w:t>（1）磋商供应商在磋商开始后撤回其响应文件；</w:t>
      </w:r>
    </w:p>
    <w:p>
      <w:pPr>
        <w:tabs>
          <w:tab w:val="left" w:pos="900"/>
        </w:tabs>
        <w:spacing w:after="143" w:afterLines="50" w:line="560" w:lineRule="exact"/>
        <w:ind w:firstLine="360" w:firstLineChars="150"/>
        <w:rPr>
          <w:rFonts w:ascii="宋体" w:hAnsi="宋体"/>
          <w:sz w:val="24"/>
        </w:rPr>
      </w:pPr>
      <w:r>
        <w:rPr>
          <w:rFonts w:hint="eastAsia" w:ascii="宋体" w:hAnsi="宋体"/>
          <w:sz w:val="24"/>
        </w:rPr>
        <w:t>（2）为谋取最终成交，磋商供应商在整个磋商过程中提供的相关文件被确认是虚假的、不真实的；</w:t>
      </w:r>
    </w:p>
    <w:p>
      <w:pPr>
        <w:tabs>
          <w:tab w:val="left" w:pos="900"/>
        </w:tabs>
        <w:spacing w:after="143" w:afterLines="50" w:line="560" w:lineRule="exact"/>
        <w:ind w:firstLine="360" w:firstLineChars="150"/>
        <w:rPr>
          <w:rFonts w:ascii="宋体" w:hAnsi="宋体"/>
          <w:sz w:val="24"/>
        </w:rPr>
      </w:pPr>
      <w:r>
        <w:rPr>
          <w:rFonts w:hint="eastAsia" w:ascii="宋体" w:hAnsi="宋体"/>
          <w:sz w:val="24"/>
        </w:rPr>
        <w:t>（3）参加磋商的供应商之间被证实有串通、欺诈行为或者恶意进行竞争，影响采购人合法权益的；</w:t>
      </w:r>
    </w:p>
    <w:p>
      <w:pPr>
        <w:tabs>
          <w:tab w:val="left" w:pos="900"/>
        </w:tabs>
        <w:spacing w:after="143" w:afterLines="50" w:line="560" w:lineRule="exact"/>
        <w:ind w:firstLine="360" w:firstLineChars="150"/>
        <w:rPr>
          <w:rFonts w:ascii="宋体" w:hAnsi="宋体"/>
          <w:sz w:val="24"/>
        </w:rPr>
      </w:pPr>
      <w:r>
        <w:rPr>
          <w:rFonts w:hint="eastAsia" w:ascii="宋体" w:hAnsi="宋体"/>
          <w:sz w:val="24"/>
        </w:rPr>
        <w:t>（4）整个采购活动中采取不正当手段诋毁、排挤其他供应商的；</w:t>
      </w:r>
    </w:p>
    <w:p>
      <w:pPr>
        <w:tabs>
          <w:tab w:val="left" w:pos="900"/>
        </w:tabs>
        <w:spacing w:after="143" w:afterLines="50" w:line="560" w:lineRule="exact"/>
        <w:ind w:firstLine="360" w:firstLineChars="150"/>
        <w:rPr>
          <w:rFonts w:ascii="宋体" w:hAnsi="宋体"/>
          <w:sz w:val="24"/>
        </w:rPr>
      </w:pPr>
      <w:r>
        <w:rPr>
          <w:rFonts w:hint="eastAsia" w:ascii="宋体" w:hAnsi="宋体"/>
          <w:sz w:val="24"/>
        </w:rPr>
        <w:t>（5）与采购人相关工作人员恶意串通的；</w:t>
      </w:r>
    </w:p>
    <w:p>
      <w:pPr>
        <w:tabs>
          <w:tab w:val="left" w:pos="900"/>
        </w:tabs>
        <w:spacing w:after="143" w:afterLines="50" w:line="560" w:lineRule="exact"/>
        <w:ind w:firstLine="360" w:firstLineChars="150"/>
        <w:rPr>
          <w:rFonts w:ascii="宋体" w:hAnsi="宋体"/>
          <w:sz w:val="24"/>
        </w:rPr>
      </w:pPr>
      <w:r>
        <w:rPr>
          <w:rFonts w:hint="eastAsia" w:ascii="宋体" w:hAnsi="宋体"/>
          <w:sz w:val="24"/>
        </w:rPr>
        <w:t>（6）向采购人相关工作人员行贿或者提供其他不正当利益的；</w:t>
      </w:r>
    </w:p>
    <w:p>
      <w:pPr>
        <w:tabs>
          <w:tab w:val="left" w:pos="900"/>
        </w:tabs>
        <w:spacing w:after="143" w:afterLines="50" w:line="560" w:lineRule="exact"/>
        <w:ind w:firstLine="360" w:firstLineChars="150"/>
        <w:rPr>
          <w:rFonts w:ascii="宋体" w:hAnsi="宋体"/>
          <w:sz w:val="24"/>
        </w:rPr>
      </w:pPr>
      <w:r>
        <w:rPr>
          <w:rFonts w:hint="eastAsia" w:ascii="宋体" w:hAnsi="宋体"/>
          <w:sz w:val="24"/>
        </w:rPr>
        <w:t>（7）成交供应商在规定期限内未能根据规定签订合同；</w:t>
      </w:r>
    </w:p>
    <w:p>
      <w:pPr>
        <w:tabs>
          <w:tab w:val="left" w:pos="900"/>
        </w:tabs>
        <w:spacing w:after="143" w:afterLines="50" w:line="560" w:lineRule="exact"/>
        <w:ind w:firstLine="360" w:firstLineChars="150"/>
        <w:rPr>
          <w:rFonts w:ascii="宋体" w:hAnsi="宋体"/>
          <w:sz w:val="24"/>
        </w:rPr>
      </w:pPr>
      <w:r>
        <w:rPr>
          <w:rFonts w:hint="eastAsia" w:ascii="宋体" w:hAnsi="宋体"/>
          <w:sz w:val="24"/>
        </w:rPr>
        <w:t>（8）成交供应商在规定期限内未能根据规定交纳履约保证金。</w:t>
      </w:r>
    </w:p>
    <w:p>
      <w:pPr>
        <w:tabs>
          <w:tab w:val="left" w:pos="900"/>
        </w:tabs>
        <w:spacing w:after="143" w:afterLines="50" w:line="560" w:lineRule="exact"/>
        <w:ind w:firstLine="479" w:firstLineChars="199"/>
        <w:rPr>
          <w:rFonts w:ascii="宋体" w:hAnsi="宋体"/>
          <w:b/>
          <w:sz w:val="24"/>
        </w:rPr>
      </w:pPr>
      <w:bookmarkStart w:id="47" w:name="_Hlt26954749"/>
      <w:bookmarkEnd w:id="47"/>
      <w:bookmarkStart w:id="48" w:name="_Hlt26954739"/>
      <w:bookmarkEnd w:id="48"/>
      <w:bookmarkStart w:id="49" w:name="_Hlt26954852"/>
      <w:bookmarkEnd w:id="49"/>
      <w:bookmarkStart w:id="50" w:name="_Hlt26670493"/>
      <w:bookmarkEnd w:id="50"/>
      <w:bookmarkStart w:id="51" w:name="_Hlt26954850"/>
      <w:bookmarkEnd w:id="51"/>
      <w:bookmarkStart w:id="52" w:name="_Hlt26670489"/>
      <w:bookmarkEnd w:id="52"/>
      <w:bookmarkStart w:id="53" w:name="_Hlt26954734"/>
      <w:bookmarkEnd w:id="53"/>
      <w:bookmarkStart w:id="54" w:name="_Hlt26954854"/>
      <w:bookmarkEnd w:id="54"/>
      <w:bookmarkStart w:id="55" w:name="_Toc61149562"/>
      <w:bookmarkStart w:id="56" w:name="_Toc14577362"/>
      <w:bookmarkStart w:id="57" w:name="_Toc513029224"/>
      <w:r>
        <w:rPr>
          <w:rFonts w:hint="eastAsia" w:ascii="宋体" w:hAnsi="宋体"/>
          <w:b/>
          <w:sz w:val="24"/>
        </w:rPr>
        <w:t>三、响应文件的递交</w:t>
      </w:r>
      <w:bookmarkEnd w:id="55"/>
      <w:bookmarkEnd w:id="56"/>
      <w:bookmarkEnd w:id="57"/>
    </w:p>
    <w:p>
      <w:pPr>
        <w:tabs>
          <w:tab w:val="left" w:pos="900"/>
        </w:tabs>
        <w:spacing w:after="143" w:afterLines="50" w:line="560" w:lineRule="exact"/>
        <w:ind w:firstLine="477" w:firstLineChars="199"/>
        <w:rPr>
          <w:rFonts w:ascii="宋体" w:hAnsi="宋体"/>
          <w:sz w:val="24"/>
        </w:rPr>
      </w:pPr>
      <w:bookmarkStart w:id="58" w:name="_Hlt26954856"/>
      <w:bookmarkEnd w:id="58"/>
      <w:bookmarkStart w:id="59" w:name="_Toc513029225"/>
      <w:bookmarkStart w:id="60" w:name="_Toc14577363"/>
      <w:bookmarkStart w:id="61" w:name="_Toc61149563"/>
      <w:bookmarkStart w:id="62" w:name="_Toc462564084"/>
      <w:r>
        <w:rPr>
          <w:rFonts w:hint="eastAsia" w:ascii="宋体" w:hAnsi="宋体"/>
          <w:sz w:val="24"/>
        </w:rPr>
        <w:t>1、响应文件</w:t>
      </w:r>
      <w:bookmarkStart w:id="63" w:name="_Hlt26954743"/>
      <w:bookmarkEnd w:id="63"/>
      <w:r>
        <w:rPr>
          <w:rFonts w:hint="eastAsia" w:ascii="宋体" w:hAnsi="宋体"/>
          <w:sz w:val="24"/>
        </w:rPr>
        <w:t>的密封和标记</w:t>
      </w:r>
      <w:bookmarkEnd w:id="59"/>
      <w:bookmarkEnd w:id="60"/>
      <w:bookmarkEnd w:id="61"/>
      <w:bookmarkEnd w:id="62"/>
    </w:p>
    <w:p>
      <w:pPr>
        <w:tabs>
          <w:tab w:val="left" w:pos="900"/>
        </w:tabs>
        <w:spacing w:after="143" w:afterLines="50" w:line="560" w:lineRule="exact"/>
        <w:ind w:firstLine="477" w:firstLineChars="199"/>
        <w:rPr>
          <w:rFonts w:ascii="宋体" w:hAnsi="宋体"/>
          <w:sz w:val="24"/>
        </w:rPr>
      </w:pPr>
      <w:r>
        <w:rPr>
          <w:rFonts w:hint="eastAsia" w:ascii="宋体" w:hAnsi="宋体"/>
          <w:sz w:val="24"/>
        </w:rPr>
        <w:t>1.1磋商供应商应严格按照采购邀请要求的份数准备响应文件，每份响应文件须清楚地标明“正本”或“副本”字样。一旦正本和副本不符，以正本为准。磋商供应商应将响应文件正本和所有副本密封。</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1.2密封的响应文件应：</w:t>
      </w:r>
    </w:p>
    <w:p>
      <w:pPr>
        <w:tabs>
          <w:tab w:val="left" w:pos="900"/>
        </w:tabs>
        <w:spacing w:after="143" w:afterLines="50" w:line="560" w:lineRule="exact"/>
        <w:ind w:firstLine="360" w:firstLineChars="150"/>
        <w:rPr>
          <w:rFonts w:ascii="宋体" w:hAnsi="宋体"/>
          <w:sz w:val="24"/>
        </w:rPr>
      </w:pPr>
      <w:r>
        <w:rPr>
          <w:rFonts w:hint="eastAsia" w:ascii="宋体" w:hAnsi="宋体"/>
          <w:sz w:val="24"/>
        </w:rPr>
        <w:t>（1）按采购邀请中注明的地址送达规定地点；</w:t>
      </w:r>
    </w:p>
    <w:p>
      <w:pPr>
        <w:tabs>
          <w:tab w:val="left" w:pos="900"/>
        </w:tabs>
        <w:spacing w:after="143" w:afterLines="50" w:line="560" w:lineRule="exact"/>
        <w:ind w:firstLine="360" w:firstLineChars="150"/>
        <w:rPr>
          <w:rFonts w:ascii="宋体" w:hAnsi="宋体"/>
          <w:sz w:val="24"/>
        </w:rPr>
      </w:pPr>
      <w:r>
        <w:rPr>
          <w:rFonts w:hint="eastAsia" w:ascii="宋体" w:hAnsi="宋体"/>
          <w:sz w:val="24"/>
        </w:rPr>
        <w:t>（2）注明参加磋商项目名称、磋商文件编号及参加的分包号；</w:t>
      </w:r>
    </w:p>
    <w:p>
      <w:pPr>
        <w:tabs>
          <w:tab w:val="left" w:pos="900"/>
        </w:tabs>
        <w:spacing w:after="143" w:afterLines="50" w:line="560" w:lineRule="exact"/>
        <w:ind w:firstLine="360" w:firstLineChars="150"/>
        <w:rPr>
          <w:rFonts w:ascii="宋体" w:hAnsi="宋体"/>
          <w:sz w:val="24"/>
        </w:rPr>
      </w:pPr>
      <w:r>
        <w:rPr>
          <w:rFonts w:hint="eastAsia" w:ascii="宋体" w:hAnsi="宋体"/>
          <w:sz w:val="24"/>
        </w:rPr>
        <w:t>（3）密封包装上应写明磋商供应商名称和地址。</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1.3如果密封包装未按要求密封和加写标记，采购中心对误投或过早启封概不负责。对由此造成提前开封的响应文件，采购人将予以拒绝，作无效响应处理。</w:t>
      </w:r>
    </w:p>
    <w:p>
      <w:pPr>
        <w:tabs>
          <w:tab w:val="left" w:pos="900"/>
        </w:tabs>
        <w:spacing w:after="143" w:afterLines="50" w:line="560" w:lineRule="exact"/>
        <w:ind w:firstLine="477" w:firstLineChars="199"/>
        <w:rPr>
          <w:rFonts w:ascii="宋体" w:hAnsi="宋体"/>
          <w:sz w:val="24"/>
        </w:rPr>
      </w:pPr>
      <w:bookmarkStart w:id="64" w:name="_Hlt26670496"/>
      <w:bookmarkEnd w:id="64"/>
      <w:bookmarkStart w:id="65" w:name="_Hlt26954858"/>
      <w:bookmarkEnd w:id="65"/>
      <w:bookmarkStart w:id="66" w:name="_Hlt26954752"/>
      <w:bookmarkEnd w:id="66"/>
      <w:bookmarkStart w:id="67" w:name="_Toc14577364"/>
      <w:bookmarkStart w:id="68" w:name="_Toc513029226"/>
      <w:bookmarkStart w:id="69" w:name="_Toc61149564"/>
      <w:r>
        <w:rPr>
          <w:rFonts w:hint="eastAsia" w:ascii="宋体" w:hAnsi="宋体"/>
          <w:sz w:val="24"/>
        </w:rPr>
        <w:t>2、</w:t>
      </w:r>
      <w:bookmarkEnd w:id="67"/>
      <w:bookmarkEnd w:id="68"/>
      <w:bookmarkEnd w:id="69"/>
      <w:r>
        <w:rPr>
          <w:rFonts w:hint="eastAsia" w:ascii="宋体" w:hAnsi="宋体"/>
          <w:sz w:val="24"/>
        </w:rPr>
        <w:t>响应文件开启时间</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2.1采购人收到响应文件的时间不得迟于本磋商文件规定的响应文件接收截止时间。</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2.2采购人可通过修改磋商文件自行决定酌情推迟响应文件接收截止时间，在此情况下，磋商供应商的所有权利和义务以及受制的响应文件接收截止时间均应以延长后新的响应文件接收截止时间为准。</w:t>
      </w:r>
    </w:p>
    <w:p>
      <w:pPr>
        <w:tabs>
          <w:tab w:val="left" w:pos="900"/>
        </w:tabs>
        <w:spacing w:after="143" w:afterLines="50" w:line="560" w:lineRule="exact"/>
        <w:ind w:firstLine="477" w:firstLineChars="199"/>
        <w:rPr>
          <w:rFonts w:ascii="宋体" w:hAnsi="宋体"/>
          <w:sz w:val="24"/>
        </w:rPr>
      </w:pPr>
      <w:bookmarkStart w:id="70" w:name="_Hlt26954860"/>
      <w:bookmarkEnd w:id="70"/>
      <w:bookmarkStart w:id="71" w:name="_Toc513029227"/>
      <w:bookmarkStart w:id="72" w:name="_Toc61149565"/>
      <w:bookmarkStart w:id="73" w:name="_Toc14577365"/>
      <w:r>
        <w:rPr>
          <w:rFonts w:hint="eastAsia" w:ascii="宋体" w:hAnsi="宋体"/>
          <w:sz w:val="24"/>
        </w:rPr>
        <w:t>3、迟交的响应文件</w:t>
      </w:r>
      <w:bookmarkEnd w:id="71"/>
      <w:bookmarkEnd w:id="72"/>
      <w:bookmarkEnd w:id="73"/>
    </w:p>
    <w:p>
      <w:pPr>
        <w:tabs>
          <w:tab w:val="left" w:pos="900"/>
        </w:tabs>
        <w:spacing w:after="143" w:afterLines="50" w:line="560" w:lineRule="exact"/>
        <w:ind w:firstLine="477" w:firstLineChars="199"/>
        <w:rPr>
          <w:rFonts w:ascii="宋体" w:hAnsi="宋体"/>
          <w:sz w:val="24"/>
        </w:rPr>
      </w:pPr>
      <w:r>
        <w:rPr>
          <w:rFonts w:hint="eastAsia" w:ascii="宋体" w:hAnsi="宋体"/>
          <w:sz w:val="24"/>
        </w:rPr>
        <w:t>3.1采购人将拒绝在规定的响应文件接收截止时间后接收响应文件。</w:t>
      </w:r>
    </w:p>
    <w:p>
      <w:pPr>
        <w:tabs>
          <w:tab w:val="left" w:pos="900"/>
        </w:tabs>
        <w:spacing w:after="143" w:afterLines="50" w:line="560" w:lineRule="exact"/>
        <w:ind w:firstLine="477" w:firstLineChars="199"/>
        <w:rPr>
          <w:rFonts w:ascii="宋体" w:hAnsi="宋体"/>
          <w:sz w:val="24"/>
        </w:rPr>
      </w:pPr>
      <w:bookmarkStart w:id="74" w:name="_Hlt26954754"/>
      <w:bookmarkEnd w:id="74"/>
      <w:bookmarkStart w:id="75" w:name="_Hlt26954862"/>
      <w:bookmarkEnd w:id="75"/>
      <w:bookmarkStart w:id="76" w:name="_Toc61149566"/>
      <w:bookmarkStart w:id="77" w:name="_Toc14577366"/>
      <w:bookmarkStart w:id="78" w:name="_Toc513029228"/>
      <w:r>
        <w:rPr>
          <w:rFonts w:hint="eastAsia" w:ascii="宋体" w:hAnsi="宋体"/>
          <w:sz w:val="24"/>
        </w:rPr>
        <w:t>4、响应文件</w:t>
      </w:r>
      <w:bookmarkStart w:id="79" w:name="_Hlt26670588"/>
      <w:r>
        <w:rPr>
          <w:rFonts w:hint="eastAsia" w:ascii="宋体" w:hAnsi="宋体"/>
          <w:sz w:val="24"/>
        </w:rPr>
        <w:t>的修改</w:t>
      </w:r>
      <w:bookmarkEnd w:id="79"/>
      <w:r>
        <w:rPr>
          <w:rFonts w:hint="eastAsia" w:ascii="宋体" w:hAnsi="宋体"/>
          <w:sz w:val="24"/>
        </w:rPr>
        <w:t>和撤回</w:t>
      </w:r>
      <w:bookmarkEnd w:id="76"/>
      <w:bookmarkEnd w:id="77"/>
      <w:bookmarkEnd w:id="78"/>
    </w:p>
    <w:p>
      <w:pPr>
        <w:tabs>
          <w:tab w:val="left" w:pos="900"/>
        </w:tabs>
        <w:spacing w:after="143" w:afterLines="50" w:line="560" w:lineRule="exact"/>
        <w:ind w:firstLine="477" w:firstLineChars="199"/>
        <w:rPr>
          <w:rFonts w:ascii="宋体" w:hAnsi="宋体"/>
          <w:sz w:val="24"/>
        </w:rPr>
      </w:pPr>
      <w:r>
        <w:rPr>
          <w:rFonts w:hint="eastAsia" w:ascii="宋体" w:hAnsi="宋体"/>
          <w:sz w:val="24"/>
        </w:rPr>
        <w:t>4.1磋商供应商在递交响应文件后，可以修改或撤回其谈判响应文件，但这种修改和撤回，必须在规定的响应文件接收截止时间前，以书面形式送达指定地点。</w:t>
      </w:r>
    </w:p>
    <w:p>
      <w:pPr>
        <w:tabs>
          <w:tab w:val="left" w:pos="900"/>
        </w:tabs>
        <w:spacing w:after="143" w:afterLines="50" w:line="560" w:lineRule="exact"/>
        <w:ind w:firstLine="480" w:firstLineChars="200"/>
        <w:rPr>
          <w:rFonts w:ascii="宋体" w:hAnsi="宋体"/>
          <w:sz w:val="24"/>
        </w:rPr>
      </w:pPr>
      <w:r>
        <w:rPr>
          <w:rFonts w:hint="eastAsia" w:ascii="宋体" w:hAnsi="宋体"/>
          <w:sz w:val="24"/>
        </w:rPr>
        <w:t>4.2磋商供应商的修改或撤回通知书，应按本文件规定进行编制、密封、标记和发送，并应在封套上加注“修改”和“撤回”字样。</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4.3 磋商供应商在提交最后报价之前，可以根据磋商情况退出磋商，采购人退还退出磋商的供应商的磋商保证金。</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5、磋商响应有效期</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5.1 磋商响应有效期为采购人规定的响应文件接收截止时间后六十（60）天。磋商响应有效期比规定短的将被视为非实质性响应性而予以拒绝。</w:t>
      </w:r>
    </w:p>
    <w:p>
      <w:pPr>
        <w:tabs>
          <w:tab w:val="left" w:pos="900"/>
        </w:tabs>
        <w:spacing w:after="143" w:afterLines="50" w:line="560" w:lineRule="exact"/>
        <w:ind w:firstLine="479" w:firstLineChars="199"/>
        <w:rPr>
          <w:rFonts w:ascii="宋体" w:hAnsi="宋体"/>
          <w:b/>
          <w:sz w:val="24"/>
        </w:rPr>
      </w:pPr>
      <w:bookmarkStart w:id="80" w:name="_Hlt26670523"/>
      <w:bookmarkEnd w:id="80"/>
      <w:bookmarkStart w:id="81" w:name="_Hlt26954864"/>
      <w:bookmarkEnd w:id="81"/>
      <w:r>
        <w:rPr>
          <w:rFonts w:hint="eastAsia" w:ascii="宋体" w:hAnsi="宋体"/>
          <w:b/>
          <w:sz w:val="24"/>
        </w:rPr>
        <w:t>四、磋商与评审</w:t>
      </w:r>
    </w:p>
    <w:p>
      <w:pPr>
        <w:tabs>
          <w:tab w:val="left" w:pos="900"/>
        </w:tabs>
        <w:spacing w:after="143" w:afterLines="50" w:line="560" w:lineRule="exact"/>
        <w:ind w:firstLine="477" w:firstLineChars="199"/>
        <w:rPr>
          <w:rFonts w:ascii="宋体" w:hAnsi="宋体"/>
          <w:sz w:val="24"/>
        </w:rPr>
      </w:pPr>
      <w:bookmarkStart w:id="82" w:name="_Toc513029230"/>
      <w:bookmarkStart w:id="83" w:name="_Toc20823302"/>
      <w:bookmarkStart w:id="84" w:name="_Toc16938546"/>
      <w:r>
        <w:rPr>
          <w:rFonts w:hint="eastAsia" w:ascii="宋体" w:hAnsi="宋体"/>
          <w:sz w:val="24"/>
        </w:rPr>
        <w:t>1、</w:t>
      </w:r>
      <w:bookmarkEnd w:id="82"/>
      <w:bookmarkEnd w:id="83"/>
      <w:bookmarkEnd w:id="84"/>
      <w:r>
        <w:rPr>
          <w:rFonts w:hint="eastAsia" w:ascii="宋体" w:hAnsi="宋体"/>
          <w:sz w:val="24"/>
        </w:rPr>
        <w:t>磋商仪式</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1.1采购人将组织磋商开始仪式，仪式由采购人主持，磋商供应商应委派携带有效证件的代表准时参加。</w:t>
      </w:r>
    </w:p>
    <w:p>
      <w:pPr>
        <w:tabs>
          <w:tab w:val="left" w:pos="900"/>
        </w:tabs>
        <w:spacing w:after="143" w:afterLines="50" w:line="560" w:lineRule="exact"/>
        <w:ind w:firstLine="477" w:firstLineChars="199"/>
        <w:rPr>
          <w:rFonts w:ascii="宋体" w:hAnsi="宋体"/>
          <w:sz w:val="24"/>
        </w:rPr>
      </w:pPr>
      <w:bookmarkStart w:id="85" w:name="_Toc513029231"/>
      <w:bookmarkStart w:id="86" w:name="_Toc20823303"/>
      <w:bookmarkStart w:id="87" w:name="_Toc16938547"/>
      <w:r>
        <w:rPr>
          <w:rFonts w:hint="eastAsia" w:ascii="宋体" w:hAnsi="宋体"/>
          <w:sz w:val="24"/>
        </w:rPr>
        <w:t>2、磋商小组</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2.1 磋商开始仪式结束后，采购人将立即组织磋商小组进行评审。</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2.2 磋商小组由政府采购人确定。</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3、磋商评审过程的保密</w:t>
      </w:r>
      <w:bookmarkEnd w:id="85"/>
      <w:bookmarkEnd w:id="86"/>
      <w:bookmarkEnd w:id="87"/>
      <w:r>
        <w:rPr>
          <w:rFonts w:hint="eastAsia" w:ascii="宋体" w:hAnsi="宋体"/>
          <w:sz w:val="24"/>
        </w:rPr>
        <w:t>与公正</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3.1磋商小组</w:t>
      </w:r>
      <w:r>
        <w:rPr>
          <w:rFonts w:ascii="宋体" w:hAnsi="宋体"/>
          <w:sz w:val="24"/>
        </w:rPr>
        <w:t>、采购人和相关监督人员等与评审工作有关的人员，对评审情况以及在评审过程中获悉的国家秘密、商业秘密负有保密责任</w:t>
      </w:r>
      <w:r>
        <w:rPr>
          <w:rFonts w:hint="eastAsia" w:ascii="宋体" w:hAnsi="宋体"/>
          <w:sz w:val="24"/>
        </w:rPr>
        <w:t>。</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3.2在磋商评审过程中，磋商供应商不得以任何行为影响磋商评审过程，否则其响应文件将被作为无效响应文件。</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pPr>
        <w:tabs>
          <w:tab w:val="left" w:pos="900"/>
        </w:tabs>
        <w:spacing w:after="143" w:afterLines="50" w:line="560" w:lineRule="exact"/>
        <w:ind w:firstLine="477" w:firstLineChars="199"/>
        <w:rPr>
          <w:rFonts w:ascii="宋体" w:hAnsi="宋体"/>
          <w:sz w:val="24"/>
        </w:rPr>
      </w:pPr>
      <w:bookmarkStart w:id="88" w:name="_Toc16938548"/>
      <w:bookmarkStart w:id="89" w:name="_Toc20823304"/>
      <w:bookmarkStart w:id="90" w:name="_Toc513029232"/>
      <w:r>
        <w:rPr>
          <w:rFonts w:hint="eastAsia" w:ascii="宋体" w:hAnsi="宋体"/>
          <w:sz w:val="24"/>
        </w:rPr>
        <w:t>4、评审过程的澄清</w:t>
      </w:r>
      <w:bookmarkEnd w:id="88"/>
      <w:bookmarkEnd w:id="89"/>
      <w:bookmarkEnd w:id="90"/>
      <w:r>
        <w:rPr>
          <w:rFonts w:hint="eastAsia" w:ascii="宋体" w:hAnsi="宋体"/>
          <w:sz w:val="24"/>
        </w:rPr>
        <w:t>、说明和更正</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4.</w:t>
      </w:r>
      <w:r>
        <w:rPr>
          <w:rFonts w:ascii="宋体" w:hAnsi="宋体"/>
          <w:sz w:val="24"/>
        </w:rPr>
        <w:t>1</w:t>
      </w:r>
      <w:r>
        <w:rPr>
          <w:rFonts w:hint="eastAsia" w:ascii="宋体" w:hAnsi="宋体"/>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900"/>
        </w:tabs>
        <w:spacing w:after="143" w:afterLines="50" w:line="560" w:lineRule="exact"/>
        <w:ind w:firstLine="480" w:firstLineChars="200"/>
        <w:rPr>
          <w:rFonts w:ascii="宋体" w:hAnsi="宋体"/>
          <w:sz w:val="24"/>
        </w:rPr>
      </w:pPr>
      <w:r>
        <w:rPr>
          <w:rFonts w:hint="eastAsia" w:ascii="宋体" w:hAnsi="宋体"/>
          <w:sz w:val="24"/>
        </w:rPr>
        <w:t>4.2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4.3 接到磋商小组澄清要求的供应商如未按规定做出澄清，其风险由供应商自行承担。</w:t>
      </w:r>
    </w:p>
    <w:p>
      <w:pPr>
        <w:tabs>
          <w:tab w:val="left" w:pos="900"/>
        </w:tabs>
        <w:spacing w:after="143" w:afterLines="50" w:line="560" w:lineRule="exact"/>
        <w:ind w:firstLine="477" w:firstLineChars="199"/>
        <w:rPr>
          <w:rFonts w:ascii="宋体" w:hAnsi="宋体"/>
          <w:sz w:val="24"/>
        </w:rPr>
      </w:pPr>
      <w:bookmarkStart w:id="91" w:name="_Toc16938549"/>
      <w:bookmarkStart w:id="92" w:name="_Toc20823305"/>
      <w:bookmarkStart w:id="93" w:name="_Toc513029233"/>
      <w:r>
        <w:rPr>
          <w:rFonts w:hint="eastAsia" w:ascii="宋体" w:hAnsi="宋体"/>
          <w:sz w:val="24"/>
        </w:rPr>
        <w:t>5、对响应文件的初审</w:t>
      </w:r>
      <w:bookmarkEnd w:id="91"/>
      <w:bookmarkEnd w:id="92"/>
      <w:bookmarkEnd w:id="93"/>
    </w:p>
    <w:p>
      <w:pPr>
        <w:tabs>
          <w:tab w:val="left" w:pos="900"/>
        </w:tabs>
        <w:spacing w:after="143" w:afterLines="50" w:line="560" w:lineRule="exact"/>
        <w:ind w:firstLine="477" w:firstLineChars="199"/>
        <w:rPr>
          <w:rFonts w:ascii="宋体" w:hAnsi="宋体"/>
          <w:sz w:val="24"/>
        </w:rPr>
      </w:pPr>
      <w:r>
        <w:rPr>
          <w:rFonts w:hint="eastAsia" w:ascii="宋体" w:hAnsi="宋体"/>
          <w:sz w:val="24"/>
        </w:rPr>
        <w:t>5.1响应文件初审分为资格性检查和符合性检查。</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资格性检查：依据法律法规和磋商文件的规定，对响应文件中的资格证明文件、磋商保证金等进行审查，以确定供应商是否具备参加磋商的资格。</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符合性检查：依据磋商文件的规定，从响应文件的有效性、完整性和对磋商文件的响应程度进行审查，以确定是否对磋商文件的实质性要求作出响应。</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5.2在正式磋商之前，磋商小组将首先审查每份响应文件是否实质性响应了磋商文件的要求。实质性响应的响应文件应该是与磋商文件要求的条款、条件和规格相符，没有重大负偏离或保留。</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5.3 被认定为未实质性响应磋商文件的响应文件的情形</w:t>
      </w:r>
    </w:p>
    <w:p>
      <w:pPr>
        <w:tabs>
          <w:tab w:val="left" w:pos="900"/>
        </w:tabs>
        <w:spacing w:after="143" w:afterLines="50" w:line="560" w:lineRule="exact"/>
        <w:ind w:firstLine="360" w:firstLineChars="150"/>
        <w:rPr>
          <w:rFonts w:ascii="宋体" w:hAnsi="宋体"/>
          <w:sz w:val="24"/>
        </w:rPr>
      </w:pPr>
      <w:r>
        <w:rPr>
          <w:rFonts w:hint="eastAsia" w:ascii="宋体" w:hAnsi="宋体"/>
          <w:sz w:val="24"/>
        </w:rPr>
        <w:t>（1）未按要求交纳磋商保证金的；</w:t>
      </w:r>
    </w:p>
    <w:p>
      <w:pPr>
        <w:tabs>
          <w:tab w:val="left" w:pos="900"/>
        </w:tabs>
        <w:spacing w:after="143" w:afterLines="50" w:line="560" w:lineRule="exact"/>
        <w:ind w:firstLine="360" w:firstLineChars="150"/>
        <w:rPr>
          <w:rFonts w:ascii="宋体" w:hAnsi="宋体"/>
          <w:sz w:val="24"/>
        </w:rPr>
      </w:pPr>
      <w:r>
        <w:rPr>
          <w:rFonts w:hint="eastAsia" w:ascii="宋体" w:hAnsi="宋体"/>
          <w:sz w:val="24"/>
        </w:rPr>
        <w:t>（2）未按照磋商文件规定要求密封、签署、盖章的；</w:t>
      </w:r>
    </w:p>
    <w:p>
      <w:pPr>
        <w:tabs>
          <w:tab w:val="left" w:pos="900"/>
        </w:tabs>
        <w:spacing w:after="143" w:afterLines="50" w:line="560" w:lineRule="exact"/>
        <w:ind w:firstLine="360" w:firstLineChars="150"/>
        <w:rPr>
          <w:rFonts w:ascii="宋体" w:hAnsi="宋体"/>
          <w:sz w:val="24"/>
        </w:rPr>
      </w:pPr>
      <w:r>
        <w:rPr>
          <w:rFonts w:hint="eastAsia" w:ascii="宋体" w:hAnsi="宋体"/>
          <w:sz w:val="24"/>
        </w:rPr>
        <w:t>（3）供应商在报价时采用选择性报价；</w:t>
      </w:r>
    </w:p>
    <w:p>
      <w:pPr>
        <w:tabs>
          <w:tab w:val="left" w:pos="900"/>
        </w:tabs>
        <w:spacing w:after="143" w:afterLines="50" w:line="560" w:lineRule="exact"/>
        <w:ind w:firstLine="360" w:firstLineChars="150"/>
        <w:rPr>
          <w:rFonts w:ascii="宋体" w:hAnsi="宋体"/>
          <w:sz w:val="24"/>
        </w:rPr>
      </w:pPr>
      <w:r>
        <w:rPr>
          <w:rFonts w:hint="eastAsia" w:ascii="宋体" w:hAnsi="宋体"/>
          <w:sz w:val="24"/>
        </w:rPr>
        <w:t>（4）供应商不符合磋商文件中规定的合格磋商供应商资格要求的；</w:t>
      </w:r>
    </w:p>
    <w:p>
      <w:pPr>
        <w:tabs>
          <w:tab w:val="left" w:pos="900"/>
        </w:tabs>
        <w:spacing w:after="143" w:afterLines="50" w:line="560" w:lineRule="exact"/>
        <w:ind w:firstLine="360" w:firstLineChars="150"/>
        <w:rPr>
          <w:rFonts w:ascii="宋体" w:hAnsi="宋体"/>
          <w:sz w:val="24"/>
        </w:rPr>
      </w:pPr>
      <w:r>
        <w:rPr>
          <w:rFonts w:hint="eastAsia" w:ascii="宋体" w:hAnsi="宋体"/>
          <w:sz w:val="24"/>
        </w:rPr>
        <w:t>（5）不符合法律、法规和磋商文件中规定的其他实质性要求和条件的（本磋商文件中斜体且有下划线部分为实质性要求和条件）；</w:t>
      </w:r>
    </w:p>
    <w:p>
      <w:pPr>
        <w:tabs>
          <w:tab w:val="left" w:pos="900"/>
        </w:tabs>
        <w:spacing w:after="143" w:afterLines="50" w:line="560" w:lineRule="exact"/>
        <w:ind w:firstLine="360" w:firstLineChars="150"/>
        <w:rPr>
          <w:rFonts w:ascii="宋体" w:hAnsi="宋体"/>
          <w:sz w:val="24"/>
        </w:rPr>
      </w:pPr>
      <w:r>
        <w:rPr>
          <w:rFonts w:hint="eastAsia" w:ascii="宋体" w:hAnsi="宋体"/>
          <w:sz w:val="24"/>
        </w:rPr>
        <w:t>（6）其他法律、法规及本磋商文件规定的属于未实质性响应的响应文件的情形；</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5.4 未实质性响应磋商文件的响应文件按无效响应处理，磋商小组将予以拒绝，供应商不得通过修改或撤销不合要求的偏离或保留而使其响应文件成为实质性响应的文件。</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5.5 磋商小组将允许修正响应文件中不构成重大负偏离的、微小的、非正规的、不一致的或不规则的地方，但这些修改不能影响任何供应商相应的名次排列。</w:t>
      </w:r>
    </w:p>
    <w:p>
      <w:pPr>
        <w:tabs>
          <w:tab w:val="left" w:pos="900"/>
        </w:tabs>
        <w:spacing w:after="143" w:afterLines="50" w:line="560" w:lineRule="exact"/>
        <w:ind w:firstLine="477" w:firstLineChars="199"/>
        <w:rPr>
          <w:rFonts w:ascii="宋体" w:hAnsi="宋体"/>
          <w:sz w:val="24"/>
        </w:rPr>
      </w:pPr>
      <w:bookmarkStart w:id="94" w:name="_Toc16938550"/>
      <w:bookmarkStart w:id="95" w:name="_Toc20823306"/>
      <w:bookmarkStart w:id="96" w:name="_Toc513029234"/>
      <w:r>
        <w:rPr>
          <w:rFonts w:hint="eastAsia" w:ascii="宋体" w:hAnsi="宋体"/>
          <w:sz w:val="24"/>
        </w:rPr>
        <w:t>6、</w:t>
      </w:r>
      <w:bookmarkEnd w:id="94"/>
      <w:bookmarkEnd w:id="95"/>
      <w:bookmarkEnd w:id="96"/>
      <w:r>
        <w:rPr>
          <w:rFonts w:hint="eastAsia" w:ascii="宋体" w:hAnsi="宋体"/>
          <w:sz w:val="24"/>
        </w:rPr>
        <w:t>磋商程序及评审方法和标准</w:t>
      </w:r>
    </w:p>
    <w:p>
      <w:pPr>
        <w:tabs>
          <w:tab w:val="left" w:pos="900"/>
        </w:tabs>
        <w:spacing w:after="143" w:afterLines="50" w:line="560" w:lineRule="exact"/>
        <w:ind w:firstLine="477" w:firstLineChars="199"/>
        <w:rPr>
          <w:rFonts w:ascii="宋体" w:hAnsi="宋体"/>
          <w:sz w:val="24"/>
        </w:rPr>
      </w:pPr>
      <w:bookmarkStart w:id="97" w:name="_Toc513029235"/>
      <w:bookmarkStart w:id="98" w:name="_Toc20823307"/>
      <w:bookmarkStart w:id="99" w:name="_Toc16938551"/>
      <w:r>
        <w:rPr>
          <w:rFonts w:hint="eastAsia" w:ascii="宋体" w:hAnsi="宋体"/>
          <w:sz w:val="24"/>
        </w:rPr>
        <w:t>6.1磋商程序</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6.1.1 对于通过资格性和符合性审查的供应商，磋商小组所有成员将集中与单一供应商分别进行磋商。</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 xml:space="preserve"> 6.1.2 </w:t>
      </w:r>
      <w:r>
        <w:rPr>
          <w:rFonts w:ascii="宋体" w:hAnsi="宋体"/>
          <w:sz w:val="24"/>
        </w:rPr>
        <w:t>磋商文件能够详细列明采购标的的技术、服务要求的，磋商结束后，磋商小组</w:t>
      </w:r>
      <w:r>
        <w:rPr>
          <w:rFonts w:hint="eastAsia" w:ascii="宋体" w:hAnsi="宋体"/>
          <w:sz w:val="24"/>
        </w:rPr>
        <w:t>将</w:t>
      </w:r>
      <w:r>
        <w:rPr>
          <w:rFonts w:ascii="宋体" w:hAnsi="宋体"/>
          <w:sz w:val="24"/>
        </w:rPr>
        <w:t>要求所有实质性响应的供应商在规定时间内提交最后报价。</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最后报价是供应商响应文件的有效组成部分。提交最后报价的供应商可以为2家。</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6.1.3 磋商供应商未在磋商小组规定的时间内完成最后报价的视为放弃磋商，其磋商响应按无效响应处理。最后报价须由磋商供应商法定代表人或授权代表签字或者加盖公章。</w:t>
      </w:r>
      <w:r>
        <w:rPr>
          <w:rFonts w:ascii="宋体" w:hAnsi="宋体"/>
          <w:sz w:val="24"/>
        </w:rPr>
        <w:t>已提交响应文件的供应商。</w:t>
      </w:r>
    </w:p>
    <w:p>
      <w:pPr>
        <w:tabs>
          <w:tab w:val="left" w:pos="900"/>
        </w:tabs>
        <w:spacing w:after="143" w:afterLines="50" w:line="560" w:lineRule="exact"/>
        <w:ind w:firstLine="360" w:firstLineChars="150"/>
        <w:rPr>
          <w:rFonts w:ascii="宋体" w:hAnsi="宋体"/>
          <w:sz w:val="24"/>
        </w:rPr>
      </w:pPr>
      <w:r>
        <w:rPr>
          <w:rFonts w:hint="eastAsia" w:ascii="宋体" w:hAnsi="宋体"/>
          <w:sz w:val="24"/>
        </w:rPr>
        <w:t>6.1.4恶意竞争，磋商小组认为供应商的最终总报价明显低于其他通过审查供应商的最终报价，有可能影响产品质量或不能诚信履约的，应该要求其在磋商现场合理时间内提供书面说明，必要时提交相关证明材料，供应商不能证明其报价合理性的，磋商小组应当将其作为无效响应文件处理，不得进入评审。</w:t>
      </w:r>
    </w:p>
    <w:p>
      <w:pPr>
        <w:tabs>
          <w:tab w:val="left" w:pos="900"/>
        </w:tabs>
        <w:spacing w:after="143" w:afterLines="50" w:line="560" w:lineRule="exact"/>
        <w:ind w:firstLine="240" w:firstLineChars="100"/>
        <w:rPr>
          <w:rFonts w:ascii="宋体" w:hAnsi="宋体"/>
          <w:sz w:val="24"/>
        </w:rPr>
      </w:pPr>
      <w:r>
        <w:rPr>
          <w:rFonts w:hint="eastAsia" w:ascii="宋体" w:hAnsi="宋体"/>
          <w:sz w:val="24"/>
        </w:rPr>
        <w:t>6.2 评审方法和标准</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6.2.1评审方法。经磋商确定最终采购需求和提交最后报价的供应商后，由磋商小组采用综合评分法对提交最后报价的供应商的响应文件和最后报价进行综合评分。</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6.2.2评审标准</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见本磋商文件第五章规定。</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6.3采购活动终止的情况</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出现下列情形之一的，本次磋商采购活动将被终止：</w:t>
      </w:r>
    </w:p>
    <w:p>
      <w:pPr>
        <w:tabs>
          <w:tab w:val="left" w:pos="900"/>
        </w:tabs>
        <w:spacing w:after="143" w:afterLines="50" w:line="560" w:lineRule="exact"/>
        <w:ind w:firstLine="360" w:firstLineChars="150"/>
        <w:rPr>
          <w:rFonts w:ascii="宋体" w:hAnsi="宋体"/>
          <w:sz w:val="24"/>
        </w:rPr>
      </w:pPr>
      <w:r>
        <w:rPr>
          <w:rFonts w:hint="eastAsia" w:ascii="宋体" w:hAnsi="宋体"/>
          <w:sz w:val="24"/>
        </w:rPr>
        <w:t>（1）因情况变化，不再符合规定的磋商采购方式适用情形的；</w:t>
      </w:r>
    </w:p>
    <w:p>
      <w:pPr>
        <w:tabs>
          <w:tab w:val="left" w:pos="900"/>
        </w:tabs>
        <w:spacing w:after="143" w:afterLines="50" w:line="560" w:lineRule="exact"/>
        <w:ind w:firstLine="360" w:firstLineChars="150"/>
        <w:rPr>
          <w:rFonts w:ascii="宋体" w:hAnsi="宋体"/>
          <w:sz w:val="24"/>
        </w:rPr>
      </w:pPr>
      <w:r>
        <w:rPr>
          <w:rFonts w:hint="eastAsia" w:ascii="宋体" w:hAnsi="宋体"/>
          <w:sz w:val="24"/>
        </w:rPr>
        <w:t>（2）出现影响采购公正的违法、违规行为的；</w:t>
      </w:r>
    </w:p>
    <w:bookmarkEnd w:id="97"/>
    <w:bookmarkEnd w:id="98"/>
    <w:bookmarkEnd w:id="99"/>
    <w:p>
      <w:pPr>
        <w:tabs>
          <w:tab w:val="left" w:pos="900"/>
        </w:tabs>
        <w:spacing w:after="143" w:afterLines="50" w:line="560" w:lineRule="exact"/>
        <w:ind w:firstLine="479" w:firstLineChars="199"/>
        <w:rPr>
          <w:rFonts w:ascii="宋体" w:hAnsi="宋体"/>
          <w:b/>
          <w:sz w:val="24"/>
        </w:rPr>
      </w:pPr>
      <w:r>
        <w:rPr>
          <w:rFonts w:hint="eastAsia" w:ascii="宋体" w:hAnsi="宋体"/>
          <w:b/>
          <w:sz w:val="24"/>
        </w:rPr>
        <w:t>五、成交</w:t>
      </w:r>
    </w:p>
    <w:p>
      <w:pPr>
        <w:tabs>
          <w:tab w:val="left" w:pos="900"/>
        </w:tabs>
        <w:spacing w:after="143" w:afterLines="50" w:line="560" w:lineRule="exact"/>
        <w:ind w:firstLine="477" w:firstLineChars="199"/>
        <w:rPr>
          <w:rFonts w:ascii="宋体" w:hAnsi="宋体"/>
          <w:sz w:val="24"/>
        </w:rPr>
      </w:pPr>
      <w:bookmarkStart w:id="100" w:name="_Toc513029238"/>
      <w:bookmarkStart w:id="101" w:name="_Toc20823310"/>
      <w:bookmarkStart w:id="102" w:name="_Toc16938554"/>
      <w:r>
        <w:rPr>
          <w:rFonts w:hint="eastAsia" w:ascii="宋体" w:hAnsi="宋体"/>
          <w:sz w:val="24"/>
        </w:rPr>
        <w:t>1、</w:t>
      </w:r>
      <w:bookmarkEnd w:id="100"/>
      <w:r>
        <w:rPr>
          <w:rFonts w:hint="eastAsia" w:ascii="宋体" w:hAnsi="宋体"/>
          <w:sz w:val="24"/>
        </w:rPr>
        <w:t>确定</w:t>
      </w:r>
      <w:bookmarkEnd w:id="101"/>
      <w:bookmarkEnd w:id="102"/>
      <w:r>
        <w:rPr>
          <w:rFonts w:hint="eastAsia" w:ascii="宋体" w:hAnsi="宋体"/>
          <w:sz w:val="24"/>
        </w:rPr>
        <w:t>成交单位</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1.1 磋商小组根据综合评分情况，评审得分最高的为成交供应商，评审得分相同的，按照最后报价由低到高的顺序推荐。评审得分且最后报价相同的，按照技术指标优劣顺序推荐。</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1.2若有充分证据证明，成交供应商出现下列情况之一的，一经查实，将被取消成交资格：</w:t>
      </w:r>
    </w:p>
    <w:p>
      <w:pPr>
        <w:tabs>
          <w:tab w:val="left" w:pos="900"/>
        </w:tabs>
        <w:spacing w:after="143" w:afterLines="50" w:line="560" w:lineRule="exact"/>
        <w:ind w:firstLine="360" w:firstLineChars="150"/>
        <w:rPr>
          <w:rFonts w:ascii="宋体" w:hAnsi="宋体"/>
          <w:sz w:val="24"/>
        </w:rPr>
      </w:pPr>
      <w:r>
        <w:rPr>
          <w:rFonts w:hint="eastAsia" w:ascii="宋体" w:hAnsi="宋体"/>
          <w:sz w:val="24"/>
        </w:rPr>
        <w:t>（1）提供虚假材料谋取成交的；</w:t>
      </w:r>
    </w:p>
    <w:p>
      <w:pPr>
        <w:tabs>
          <w:tab w:val="left" w:pos="900"/>
        </w:tabs>
        <w:spacing w:after="143" w:afterLines="50" w:line="560" w:lineRule="exact"/>
        <w:ind w:firstLine="360" w:firstLineChars="150"/>
        <w:rPr>
          <w:rFonts w:ascii="宋体" w:hAnsi="宋体"/>
          <w:sz w:val="24"/>
        </w:rPr>
      </w:pPr>
      <w:r>
        <w:rPr>
          <w:rFonts w:hint="eastAsia" w:ascii="宋体" w:hAnsi="宋体"/>
          <w:sz w:val="24"/>
        </w:rPr>
        <w:t>（2）与评审专家、采购人、其他供应商恶意串通的；</w:t>
      </w:r>
    </w:p>
    <w:p>
      <w:pPr>
        <w:tabs>
          <w:tab w:val="left" w:pos="900"/>
        </w:tabs>
        <w:spacing w:after="143" w:afterLines="50" w:line="560" w:lineRule="exact"/>
        <w:ind w:firstLine="360" w:firstLineChars="150"/>
        <w:rPr>
          <w:rFonts w:ascii="宋体" w:hAnsi="宋体"/>
          <w:sz w:val="24"/>
        </w:rPr>
      </w:pPr>
      <w:r>
        <w:rPr>
          <w:rFonts w:hint="eastAsia" w:ascii="宋体" w:hAnsi="宋体"/>
          <w:sz w:val="24"/>
        </w:rPr>
        <w:t>（3）向评审专家、采购人行贿或者提供其他不正当利益的；</w:t>
      </w:r>
    </w:p>
    <w:p>
      <w:pPr>
        <w:tabs>
          <w:tab w:val="left" w:pos="900"/>
        </w:tabs>
        <w:spacing w:after="143" w:afterLines="50" w:line="560" w:lineRule="exact"/>
        <w:ind w:firstLine="360" w:firstLineChars="150"/>
        <w:rPr>
          <w:rFonts w:ascii="宋体" w:hAnsi="宋体"/>
          <w:sz w:val="24"/>
        </w:rPr>
      </w:pPr>
      <w:r>
        <w:rPr>
          <w:rFonts w:hint="eastAsia" w:ascii="宋体" w:hAnsi="宋体"/>
          <w:sz w:val="24"/>
        </w:rPr>
        <w:t>（4）不满足本磋商文件规定的实质性要求，但在评审过程中又未被磋商小组发现的；</w:t>
      </w:r>
    </w:p>
    <w:p>
      <w:pPr>
        <w:tabs>
          <w:tab w:val="left" w:pos="900"/>
        </w:tabs>
        <w:spacing w:after="143" w:afterLines="50" w:line="560" w:lineRule="exact"/>
        <w:ind w:firstLine="360" w:firstLineChars="150"/>
        <w:rPr>
          <w:rFonts w:ascii="宋体" w:hAnsi="宋体"/>
          <w:sz w:val="24"/>
        </w:rPr>
      </w:pPr>
      <w:r>
        <w:rPr>
          <w:rFonts w:hint="eastAsia" w:ascii="宋体" w:hAnsi="宋体"/>
          <w:sz w:val="24"/>
        </w:rPr>
        <w:t>（5）成交后无正当理由拒不与采购人签订采购合同或者未按照磋商文件确定的事项签订采购合同；</w:t>
      </w:r>
    </w:p>
    <w:p>
      <w:pPr>
        <w:tabs>
          <w:tab w:val="left" w:pos="900"/>
        </w:tabs>
        <w:spacing w:after="143" w:afterLines="50" w:line="560" w:lineRule="exact"/>
        <w:ind w:firstLine="360" w:firstLineChars="150"/>
        <w:rPr>
          <w:rFonts w:ascii="宋体" w:hAnsi="宋体"/>
          <w:sz w:val="24"/>
        </w:rPr>
      </w:pPr>
      <w:r>
        <w:rPr>
          <w:rFonts w:hint="eastAsia" w:ascii="宋体" w:hAnsi="宋体"/>
          <w:sz w:val="24"/>
        </w:rPr>
        <w:t>（6）将采购合同转包；</w:t>
      </w:r>
    </w:p>
    <w:p>
      <w:pPr>
        <w:tabs>
          <w:tab w:val="left" w:pos="900"/>
        </w:tabs>
        <w:spacing w:after="143" w:afterLines="50" w:line="560" w:lineRule="exact"/>
        <w:ind w:firstLine="360" w:firstLineChars="150"/>
        <w:rPr>
          <w:rFonts w:ascii="宋体" w:hAnsi="宋体"/>
          <w:sz w:val="24"/>
        </w:rPr>
      </w:pPr>
      <w:r>
        <w:rPr>
          <w:rFonts w:hint="eastAsia" w:ascii="宋体" w:hAnsi="宋体"/>
          <w:sz w:val="24"/>
        </w:rPr>
        <w:t>（7）法律、法规、规章规定的属于成交无效的其他情形。</w:t>
      </w:r>
    </w:p>
    <w:p>
      <w:pPr>
        <w:tabs>
          <w:tab w:val="left" w:pos="900"/>
        </w:tabs>
        <w:spacing w:after="143" w:afterLines="50" w:line="560" w:lineRule="exact"/>
        <w:ind w:firstLine="360" w:firstLineChars="150"/>
        <w:rPr>
          <w:rFonts w:ascii="宋体" w:hAnsi="宋体"/>
          <w:sz w:val="24"/>
        </w:rPr>
      </w:pPr>
      <w:r>
        <w:rPr>
          <w:rFonts w:hint="eastAsia" w:ascii="宋体" w:hAnsi="宋体"/>
          <w:sz w:val="24"/>
        </w:rPr>
        <w:t>1.3 成交结果公示3日。</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2、质疑处理</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2.1磋商供应商对磋商文件提出质疑的，应该在磋商开始时间前3日内，书面提出；对采购过程和采购结果使自己的权益受到损害的，应该在成交公示期内以书面形式向采购人提出质疑。</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2.2质疑函应当包括下列内容：</w:t>
      </w:r>
    </w:p>
    <w:p>
      <w:pPr>
        <w:tabs>
          <w:tab w:val="left" w:pos="900"/>
        </w:tabs>
        <w:spacing w:after="143" w:afterLines="50" w:line="560" w:lineRule="exact"/>
        <w:ind w:firstLine="360" w:firstLineChars="150"/>
        <w:rPr>
          <w:rFonts w:ascii="宋体" w:hAnsi="宋体"/>
          <w:sz w:val="24"/>
        </w:rPr>
      </w:pPr>
      <w:r>
        <w:rPr>
          <w:rFonts w:hint="eastAsia" w:ascii="宋体" w:hAnsi="宋体"/>
          <w:sz w:val="24"/>
        </w:rPr>
        <w:t>（1）质疑供应商的名称、地址、邮编、联系人、联系电话；</w:t>
      </w:r>
    </w:p>
    <w:p>
      <w:pPr>
        <w:tabs>
          <w:tab w:val="left" w:pos="900"/>
        </w:tabs>
        <w:spacing w:after="143" w:afterLines="50" w:line="560" w:lineRule="exact"/>
        <w:ind w:firstLine="360" w:firstLineChars="150"/>
        <w:rPr>
          <w:rFonts w:ascii="宋体" w:hAnsi="宋体"/>
          <w:sz w:val="24"/>
        </w:rPr>
      </w:pPr>
      <w:r>
        <w:rPr>
          <w:rFonts w:hint="eastAsia" w:ascii="宋体" w:hAnsi="宋体"/>
          <w:sz w:val="24"/>
        </w:rPr>
        <w:t>（2）具体的质疑事项及明确的请求；</w:t>
      </w:r>
    </w:p>
    <w:p>
      <w:pPr>
        <w:tabs>
          <w:tab w:val="left" w:pos="900"/>
        </w:tabs>
        <w:spacing w:after="143" w:afterLines="50" w:line="560" w:lineRule="exact"/>
        <w:ind w:firstLine="360" w:firstLineChars="150"/>
        <w:rPr>
          <w:rFonts w:ascii="宋体" w:hAnsi="宋体"/>
          <w:sz w:val="24"/>
        </w:rPr>
      </w:pPr>
      <w:r>
        <w:rPr>
          <w:rFonts w:hint="eastAsia" w:ascii="宋体" w:hAnsi="宋体"/>
          <w:sz w:val="24"/>
        </w:rPr>
        <w:t>（3）认为自己合法权益受到损害或可能受到损害的相关证据材料；</w:t>
      </w:r>
    </w:p>
    <w:p>
      <w:pPr>
        <w:tabs>
          <w:tab w:val="left" w:pos="900"/>
        </w:tabs>
        <w:spacing w:after="143" w:afterLines="50" w:line="560" w:lineRule="exact"/>
        <w:ind w:firstLine="360" w:firstLineChars="150"/>
        <w:rPr>
          <w:rFonts w:ascii="宋体" w:hAnsi="宋体"/>
          <w:sz w:val="24"/>
        </w:rPr>
      </w:pPr>
      <w:r>
        <w:rPr>
          <w:rFonts w:hint="eastAsia" w:ascii="宋体" w:hAnsi="宋体"/>
          <w:sz w:val="24"/>
        </w:rPr>
        <w:t>（4）提起质疑的日期；</w:t>
      </w:r>
    </w:p>
    <w:p>
      <w:pPr>
        <w:tabs>
          <w:tab w:val="left" w:pos="900"/>
        </w:tabs>
        <w:spacing w:after="143" w:afterLines="50" w:line="560" w:lineRule="exact"/>
        <w:ind w:firstLine="360" w:firstLineChars="150"/>
        <w:rPr>
          <w:rFonts w:ascii="宋体" w:hAnsi="宋体"/>
          <w:sz w:val="24"/>
        </w:rPr>
      </w:pPr>
      <w:r>
        <w:rPr>
          <w:rFonts w:hint="eastAsia" w:ascii="宋体" w:hAnsi="宋体"/>
          <w:sz w:val="24"/>
        </w:rPr>
        <w:t>（5）质疑函应当署名：质疑人为自然人的，应当由本人签字并附有效身份证明；质疑人为法人或其他组织的，应当由法定代表人签字并加盖单位公章</w:t>
      </w:r>
      <w:r>
        <w:rPr>
          <w:rFonts w:hint="eastAsia" w:ascii="宋体" w:hAnsi="宋体"/>
          <w:color w:val="FF0000"/>
          <w:sz w:val="24"/>
        </w:rPr>
        <w:t>（质疑人为联合体的，则联合体各方法定代表人均需签字并加盖单位公章）</w:t>
      </w:r>
      <w:r>
        <w:rPr>
          <w:rFonts w:hint="eastAsia" w:ascii="宋体" w:hAnsi="宋体"/>
          <w:sz w:val="24"/>
        </w:rPr>
        <w:t>。质疑人委托代理质疑的，应当向采购中心提交授权委托书，并载明委托代理的具体权限和事项。</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2.3采购人收到质疑函后，将对质疑的形式和内容进行审查，如质疑函内容、格式不符合规定，采购人将告知质疑人进行补正。</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2.4质疑人应当在法定质疑期限内进行补正并重新提交质疑函，拒不补正或者在法定期限内未重新提交质疑函的，为无效质疑，采购人有权不予受理。</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2.5对于内容、格式符合规定的质疑函，采购人将在收到参加谈判供应商的书面质疑后3个工作日内作出答复，并以书面形式通知质疑供应商和其他相关供应商，答复的内容不涉及商业秘密。</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2.6供应商提出书面质疑必须有理、有据，不得恶意质疑或提交虚假质疑。否则，一经查实，采购人有权依据有关规定，报请政府采购监管部门对该供应商进行相应的行政处罚。</w:t>
      </w:r>
    </w:p>
    <w:p>
      <w:pPr>
        <w:tabs>
          <w:tab w:val="left" w:pos="900"/>
        </w:tabs>
        <w:spacing w:after="143" w:afterLines="50" w:line="560" w:lineRule="exact"/>
        <w:ind w:firstLine="479" w:firstLineChars="199"/>
        <w:rPr>
          <w:rFonts w:ascii="宋体" w:hAnsi="宋体"/>
          <w:b/>
          <w:sz w:val="24"/>
        </w:rPr>
      </w:pPr>
      <w:bookmarkStart w:id="103" w:name="_Toc16938553"/>
      <w:bookmarkStart w:id="104" w:name="_Toc20823309"/>
      <w:bookmarkStart w:id="105" w:name="_Toc513029237"/>
      <w:r>
        <w:rPr>
          <w:rFonts w:hint="eastAsia" w:ascii="宋体" w:hAnsi="宋体"/>
          <w:b/>
          <w:sz w:val="24"/>
        </w:rPr>
        <w:t>六、合同签订相关事项</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1、签订合同</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1.l成交供应商确定后，采购人将向成交供应商发出成交通知书。成交供应商应按成交通知书规定的时间、地点,按照磋商文件确定的事项与采购人签订采购合同，且不得迟于成交通知书发出之日起三十日内，否则磋商保证金将不予退还，由此给采购人造成损失的，成交供应商还应承担赔偿责任。</w:t>
      </w:r>
    </w:p>
    <w:p>
      <w:pPr>
        <w:tabs>
          <w:tab w:val="left" w:pos="900"/>
        </w:tabs>
        <w:spacing w:after="143" w:afterLines="50" w:line="560" w:lineRule="exact"/>
        <w:ind w:firstLine="480" w:firstLineChars="200"/>
        <w:rPr>
          <w:rFonts w:ascii="宋体" w:hAnsi="宋体"/>
          <w:sz w:val="24"/>
        </w:rPr>
      </w:pPr>
      <w:r>
        <w:rPr>
          <w:rFonts w:hint="eastAsia" w:ascii="宋体" w:hAnsi="宋体"/>
          <w:sz w:val="24"/>
        </w:rPr>
        <w:t>1.2 磋商文件、成交供应商的响应文件及磋商采购过程中有关澄清、承诺文件均应作为合同附件。</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1.3 签订合同后，</w:t>
      </w:r>
      <w:r>
        <w:rPr>
          <w:rFonts w:hint="eastAsia" w:ascii="宋体" w:hAnsi="宋体"/>
          <w:i/>
          <w:sz w:val="24"/>
          <w:u w:val="single"/>
        </w:rPr>
        <w:t>成交供应商不得将成交产品或服务进行转包。</w:t>
      </w:r>
      <w:r>
        <w:rPr>
          <w:rFonts w:hint="eastAsia" w:ascii="宋体" w:hAnsi="宋体"/>
          <w:sz w:val="24"/>
        </w:rPr>
        <w:t>未经采购人同意，成交供应商也不得采用分包的形式履行合同，否则采购人有权终止合同，成交供应商的履约保证金将不予退还。转包或分包造成采购人损失的，成交供应商应承担相应赔偿责任。</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2、履约保证金</w:t>
      </w:r>
    </w:p>
    <w:p>
      <w:pPr>
        <w:tabs>
          <w:tab w:val="left" w:pos="900"/>
        </w:tabs>
        <w:spacing w:after="143" w:afterLines="50" w:line="560" w:lineRule="exact"/>
        <w:ind w:firstLine="477" w:firstLineChars="199"/>
        <w:rPr>
          <w:rFonts w:ascii="宋体" w:hAnsi="宋体"/>
          <w:sz w:val="24"/>
        </w:rPr>
      </w:pPr>
      <w:r>
        <w:rPr>
          <w:rFonts w:hint="eastAsia" w:ascii="宋体" w:hAnsi="宋体"/>
          <w:sz w:val="24"/>
        </w:rPr>
        <w:t>2.1成交供应商在收到成交通知书后，如无另行规定，成交供应商的磋商保证金将自动转为履约保证金，履约保证金用以约束成交供应商在合同履行中的行为，弥补合同执行中由于自身行为可能给采购人带来的各种损失。如果成交供应商不同意按照规定去做，采购人有权取消本次采购成交决定，并没收其磋商保证金。</w:t>
      </w:r>
    </w:p>
    <w:bookmarkEnd w:id="103"/>
    <w:bookmarkEnd w:id="104"/>
    <w:bookmarkEnd w:id="105"/>
    <w:p>
      <w:pPr>
        <w:pStyle w:val="3"/>
        <w:jc w:val="center"/>
        <w:rPr>
          <w:rFonts w:ascii="黑体" w:eastAsia="黑体"/>
          <w:b/>
          <w:sz w:val="44"/>
          <w:szCs w:val="44"/>
        </w:rPr>
      </w:pPr>
      <w:r>
        <w:rPr>
          <w:rFonts w:hint="eastAsia" w:ascii="黑体" w:eastAsia="黑体"/>
          <w:b/>
          <w:sz w:val="44"/>
          <w:szCs w:val="44"/>
        </w:rPr>
        <w:t>第三章  合同条款及格式</w:t>
      </w:r>
    </w:p>
    <w:p>
      <w:pPr>
        <w:spacing w:line="560" w:lineRule="exact"/>
        <w:ind w:firstLine="480" w:firstLineChars="200"/>
        <w:rPr>
          <w:rFonts w:ascii="宋体" w:hAnsi="宋体"/>
          <w:bCs/>
          <w:sz w:val="24"/>
        </w:rPr>
      </w:pPr>
      <w:r>
        <w:rPr>
          <w:rFonts w:hint="eastAsia" w:ascii="宋体" w:hAnsi="宋体"/>
          <w:bCs/>
          <w:sz w:val="24"/>
        </w:rPr>
        <w:t>以下为成交后签定本项目合同的通用条款，成交供应商不得提出实质性的修改，关于专用条款将由采购人与成交供应商结合本项目具体情况协商后签订。</w:t>
      </w:r>
    </w:p>
    <w:p>
      <w:pPr>
        <w:jc w:val="center"/>
      </w:pPr>
      <w:bookmarkStart w:id="106" w:name="_Hlt16619369"/>
      <w:bookmarkEnd w:id="106"/>
    </w:p>
    <w:p>
      <w:pPr>
        <w:spacing w:line="360" w:lineRule="auto"/>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line="360" w:lineRule="auto"/>
        <w:ind w:firstLine="468" w:firstLineChars="195"/>
        <w:rPr>
          <w:rFonts w:ascii="宋体" w:hAnsi="宋体" w:cs="宋体"/>
          <w:sz w:val="24"/>
        </w:rPr>
      </w:pPr>
      <w:r>
        <w:rPr>
          <w:rFonts w:hint="eastAsia" w:ascii="宋体" w:hAnsi="宋体" w:cs="宋体"/>
          <w:sz w:val="24"/>
        </w:rPr>
        <w:t>依据</w:t>
      </w:r>
      <w:r>
        <w:rPr>
          <w:rFonts w:hint="eastAsia" w:ascii="宋体" w:hAnsi="宋体" w:cs="宋体"/>
          <w:sz w:val="24"/>
          <w:u w:val="single"/>
        </w:rPr>
        <w:t>天堂校区生活垃圾、食堂泔水和废弃油脂清运服务项目招标</w:t>
      </w:r>
      <w:r>
        <w:rPr>
          <w:rFonts w:hint="eastAsia" w:ascii="宋体" w:hAnsi="宋体" w:cs="宋体"/>
          <w:sz w:val="24"/>
        </w:rPr>
        <w:t>结果，根据《中华人民共和国合同法》、《中华人民共和国政府采购法》及其他有关法律、法规，遵循平等、自愿、公平和诚实信用的原则，甲方乙方双方就</w:t>
      </w:r>
      <w:r>
        <w:rPr>
          <w:rFonts w:hint="eastAsia" w:ascii="宋体" w:hAnsi="宋体" w:cs="宋体"/>
          <w:sz w:val="24"/>
          <w:u w:val="single"/>
        </w:rPr>
        <w:t>天堂校区生活垃圾、食堂泔水和废弃油脂清运服务项目</w:t>
      </w:r>
      <w:r>
        <w:rPr>
          <w:rFonts w:hint="eastAsia" w:ascii="宋体" w:hAnsi="宋体" w:cs="宋体"/>
          <w:sz w:val="24"/>
        </w:rPr>
        <w:t>有关事项订立本合同。</w:t>
      </w:r>
    </w:p>
    <w:p>
      <w:pPr>
        <w:pStyle w:val="14"/>
        <w:spacing w:line="360" w:lineRule="auto"/>
        <w:ind w:right="-153" w:rightChars="-73"/>
        <w:rPr>
          <w:rFonts w:ascii="宋体" w:hAnsi="宋体" w:eastAsia="宋体" w:cs="宋体"/>
          <w:b/>
          <w:sz w:val="24"/>
        </w:rPr>
      </w:pPr>
      <w:r>
        <w:rPr>
          <w:rFonts w:hint="eastAsia" w:ascii="宋体" w:hAnsi="宋体" w:eastAsia="宋体" w:cs="宋体"/>
          <w:b/>
          <w:sz w:val="24"/>
        </w:rPr>
        <w:t>一、合同名称</w:t>
      </w:r>
    </w:p>
    <w:p>
      <w:pPr>
        <w:spacing w:line="360" w:lineRule="auto"/>
        <w:ind w:firstLine="720" w:firstLineChars="300"/>
        <w:rPr>
          <w:rFonts w:ascii="宋体" w:hAnsi="宋体" w:cs="宋体"/>
          <w:sz w:val="24"/>
          <w:u w:val="single"/>
        </w:rPr>
      </w:pPr>
      <w:r>
        <w:rPr>
          <w:rFonts w:hint="eastAsia" w:ascii="宋体" w:hAnsi="宋体" w:cs="宋体"/>
          <w:sz w:val="24"/>
          <w:u w:val="single"/>
        </w:rPr>
        <w:t>天堂校区生活垃圾、食堂泔水和废弃油脂清运服务项目合同</w:t>
      </w:r>
    </w:p>
    <w:p>
      <w:pPr>
        <w:pStyle w:val="14"/>
        <w:spacing w:line="360" w:lineRule="auto"/>
        <w:ind w:right="-153" w:rightChars="-73"/>
        <w:rPr>
          <w:rFonts w:ascii="宋体" w:hAnsi="宋体" w:eastAsia="宋体" w:cs="宋体"/>
          <w:b/>
          <w:sz w:val="24"/>
        </w:rPr>
      </w:pPr>
      <w:r>
        <w:rPr>
          <w:rFonts w:hint="eastAsia" w:ascii="宋体" w:hAnsi="宋体" w:eastAsia="宋体" w:cs="宋体"/>
          <w:b/>
          <w:sz w:val="24"/>
        </w:rPr>
        <w:t>二、合同范围</w:t>
      </w:r>
    </w:p>
    <w:p>
      <w:pPr>
        <w:spacing w:line="360" w:lineRule="auto"/>
        <w:ind w:firstLine="480" w:firstLineChars="200"/>
        <w:rPr>
          <w:rFonts w:ascii="宋体" w:hAnsi="宋体" w:cs="宋体"/>
          <w:sz w:val="24"/>
        </w:rPr>
      </w:pPr>
      <w:r>
        <w:rPr>
          <w:rFonts w:hint="eastAsia" w:ascii="宋体" w:hAnsi="宋体" w:cs="宋体"/>
          <w:sz w:val="24"/>
        </w:rPr>
        <w:t>乙方按招标文件要求为甲方提供天堂校区内师生日常生活所产生全部生活垃圾、食堂泔水和废弃油脂、杂物及少量建筑垃圾等垃圾清运出校园服务，并按国家相关法律法规要求运送至指定垃圾清倒点的全过程服务，具体数量会因实际情况而变化，但无论数量多少，乙方均应完成相应的清运服务且不得改变中标价格。</w:t>
      </w:r>
    </w:p>
    <w:p>
      <w:pPr>
        <w:pStyle w:val="14"/>
        <w:spacing w:line="360" w:lineRule="auto"/>
        <w:ind w:right="-153" w:rightChars="-73"/>
        <w:rPr>
          <w:rFonts w:ascii="宋体" w:hAnsi="宋体" w:eastAsia="宋体" w:cs="宋体"/>
          <w:b/>
          <w:sz w:val="24"/>
        </w:rPr>
      </w:pPr>
      <w:r>
        <w:rPr>
          <w:rFonts w:hint="eastAsia" w:ascii="宋体" w:hAnsi="宋体" w:eastAsia="宋体" w:cs="宋体"/>
          <w:b/>
          <w:sz w:val="24"/>
        </w:rPr>
        <w:t>三、合同金额、支付方式和保证金</w:t>
      </w:r>
    </w:p>
    <w:p>
      <w:pPr>
        <w:pStyle w:val="2"/>
        <w:numPr>
          <w:ilvl w:val="0"/>
          <w:numId w:val="3"/>
        </w:numPr>
        <w:spacing w:line="360" w:lineRule="auto"/>
        <w:ind w:left="0" w:firstLine="420" w:firstLineChars="0"/>
        <w:rPr>
          <w:rFonts w:ascii="宋体" w:hAnsi="宋体" w:cs="宋体"/>
          <w:sz w:val="24"/>
        </w:rPr>
      </w:pPr>
      <w:r>
        <w:rPr>
          <w:rFonts w:hint="eastAsia" w:ascii="宋体" w:hAnsi="宋体" w:cs="宋体"/>
          <w:sz w:val="24"/>
        </w:rPr>
        <w:t>合同总金额：人民币（大写）</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整（￥</w:t>
      </w:r>
      <w:r>
        <w:rPr>
          <w:rFonts w:ascii="宋体" w:hAnsi="宋体" w:cs="宋体"/>
          <w:sz w:val="24"/>
        </w:rPr>
        <w:t xml:space="preserve">         </w:t>
      </w:r>
      <w:r>
        <w:rPr>
          <w:rFonts w:hint="eastAsia" w:ascii="宋体" w:hAnsi="宋体" w:cs="宋体"/>
          <w:sz w:val="24"/>
        </w:rPr>
        <w:t>万元）。</w:t>
      </w:r>
    </w:p>
    <w:p>
      <w:pPr>
        <w:pStyle w:val="2"/>
        <w:numPr>
          <w:ilvl w:val="0"/>
          <w:numId w:val="3"/>
        </w:numPr>
        <w:spacing w:line="360" w:lineRule="auto"/>
        <w:ind w:left="0" w:firstLine="420" w:firstLineChars="0"/>
        <w:rPr>
          <w:rFonts w:ascii="宋体" w:hAnsi="宋体" w:cs="宋体"/>
          <w:sz w:val="24"/>
        </w:rPr>
      </w:pPr>
      <w:r>
        <w:rPr>
          <w:rFonts w:hint="eastAsia" w:ascii="宋体" w:hAnsi="宋体" w:cs="宋体"/>
          <w:sz w:val="24"/>
        </w:rPr>
        <w:t>合同款支付方式：联合体投标，甲方只将全部合同款支付给提供《城市生活垃圾经营性清扫、收集、运输服务许可证》资质的一方；乙方在服务期间无任何服务、质量问题，并经甲方考核合格后按季度支付服务费。即每季度的第一个月支付上个季度的服务费，如遇节假日和学校寒暑假延至上班后支付。</w:t>
      </w:r>
    </w:p>
    <w:p>
      <w:pPr>
        <w:pStyle w:val="2"/>
        <w:numPr>
          <w:ilvl w:val="0"/>
          <w:numId w:val="3"/>
        </w:numPr>
        <w:spacing w:line="360" w:lineRule="auto"/>
        <w:ind w:left="0" w:firstLine="420" w:firstLineChars="0"/>
        <w:rPr>
          <w:rFonts w:ascii="宋体" w:hAnsi="宋体" w:cs="宋体"/>
          <w:sz w:val="24"/>
        </w:rPr>
      </w:pPr>
      <w:r>
        <w:rPr>
          <w:rFonts w:hint="eastAsia" w:ascii="宋体" w:hAnsi="宋体" w:cs="宋体"/>
          <w:sz w:val="24"/>
        </w:rPr>
        <w:t>乙方在签定协议前需向甲方缴纳      履约保证金，履约保证金在双方终止协议后与最后一个月服务费同时退还给乙方，期间不计利息。</w:t>
      </w:r>
    </w:p>
    <w:p>
      <w:pPr>
        <w:spacing w:line="360" w:lineRule="auto"/>
        <w:rPr>
          <w:rFonts w:ascii="宋体" w:hAnsi="宋体" w:cs="宋体"/>
          <w:sz w:val="24"/>
        </w:rPr>
      </w:pPr>
    </w:p>
    <w:p>
      <w:pPr>
        <w:pStyle w:val="14"/>
        <w:spacing w:line="360" w:lineRule="auto"/>
        <w:ind w:right="-153" w:rightChars="-73"/>
        <w:rPr>
          <w:rFonts w:ascii="宋体" w:hAnsi="宋体" w:eastAsia="宋体" w:cs="宋体"/>
          <w:b/>
          <w:sz w:val="24"/>
        </w:rPr>
      </w:pPr>
      <w:r>
        <w:rPr>
          <w:rFonts w:hint="eastAsia" w:ascii="宋体" w:hAnsi="宋体" w:eastAsia="宋体" w:cs="宋体"/>
          <w:b/>
          <w:sz w:val="24"/>
        </w:rPr>
        <w:t>四、清运服务期</w:t>
      </w:r>
    </w:p>
    <w:p>
      <w:pPr>
        <w:spacing w:line="360" w:lineRule="auto"/>
        <w:ind w:firstLine="484" w:firstLineChars="202"/>
        <w:rPr>
          <w:rFonts w:ascii="宋体" w:hAnsi="宋体" w:cs="宋体"/>
          <w:sz w:val="24"/>
        </w:rPr>
      </w:pPr>
      <w:r>
        <w:rPr>
          <w:rFonts w:hint="eastAsia" w:ascii="宋体" w:hAnsi="宋体" w:cs="宋体"/>
          <w:sz w:val="24"/>
        </w:rPr>
        <w:t>本项目服务期限为壹年，服务日期自</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日起至</w:t>
      </w:r>
      <w:r>
        <w:rPr>
          <w:rFonts w:ascii="宋体" w:hAnsi="宋体" w:cs="宋体"/>
          <w:sz w:val="24"/>
        </w:rPr>
        <w:t xml:space="preserve">   </w:t>
      </w:r>
      <w:r>
        <w:rPr>
          <w:rFonts w:hint="eastAsia" w:ascii="宋体" w:hAnsi="宋体" w:cs="宋体"/>
          <w:sz w:val="24"/>
        </w:rPr>
        <w:t xml:space="preserve">年 </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日止。</w:t>
      </w:r>
    </w:p>
    <w:p>
      <w:pPr>
        <w:pStyle w:val="14"/>
        <w:spacing w:line="360" w:lineRule="auto"/>
        <w:ind w:right="-153" w:rightChars="-73"/>
        <w:rPr>
          <w:rFonts w:ascii="宋体" w:hAnsi="宋体" w:eastAsia="宋体" w:cs="宋体"/>
          <w:b/>
          <w:sz w:val="24"/>
        </w:rPr>
      </w:pPr>
      <w:r>
        <w:rPr>
          <w:rFonts w:hint="eastAsia" w:ascii="宋体" w:hAnsi="宋体" w:eastAsia="宋体" w:cs="宋体"/>
          <w:b/>
          <w:sz w:val="24"/>
        </w:rPr>
        <w:t>五、甲方的权利和义务</w:t>
      </w:r>
    </w:p>
    <w:p>
      <w:pPr>
        <w:pStyle w:val="2"/>
        <w:numPr>
          <w:ilvl w:val="0"/>
          <w:numId w:val="4"/>
        </w:numPr>
        <w:spacing w:line="360" w:lineRule="auto"/>
        <w:ind w:left="0" w:firstLine="426" w:firstLineChars="0"/>
        <w:jc w:val="left"/>
        <w:rPr>
          <w:rFonts w:ascii="宋体" w:hAnsi="宋体" w:cs="宋体"/>
          <w:b/>
          <w:sz w:val="24"/>
        </w:rPr>
      </w:pPr>
      <w:r>
        <w:rPr>
          <w:rFonts w:hint="eastAsia" w:ascii="宋体" w:hAnsi="宋体" w:cs="宋体"/>
          <w:sz w:val="24"/>
        </w:rPr>
        <w:t>协议期间，在乙方无违约的前提下，甲方确保本协议下的生活垃圾、食堂泔水和废弃油脂、杂物及少量建筑垃圾由乙方清运。</w:t>
      </w:r>
    </w:p>
    <w:p>
      <w:pPr>
        <w:pStyle w:val="2"/>
        <w:numPr>
          <w:ilvl w:val="0"/>
          <w:numId w:val="4"/>
        </w:numPr>
        <w:spacing w:line="360" w:lineRule="auto"/>
        <w:ind w:left="0" w:firstLine="426" w:firstLineChars="0"/>
        <w:jc w:val="left"/>
        <w:rPr>
          <w:rFonts w:ascii="宋体" w:hAnsi="宋体" w:cs="宋体"/>
          <w:sz w:val="24"/>
        </w:rPr>
      </w:pPr>
      <w:r>
        <w:rPr>
          <w:rFonts w:hint="eastAsia" w:ascii="宋体" w:hAnsi="宋体" w:cs="宋体"/>
          <w:sz w:val="24"/>
        </w:rPr>
        <w:t>甲方有权监督检查乙方的垃圾清运质量。有权对乙方现场清运过程中出现的“落渣、漏渣”等不符合垃圾清运质量的现象要求立即整改。</w:t>
      </w:r>
    </w:p>
    <w:p>
      <w:pPr>
        <w:pStyle w:val="2"/>
        <w:numPr>
          <w:ilvl w:val="0"/>
          <w:numId w:val="4"/>
        </w:numPr>
        <w:spacing w:line="360" w:lineRule="auto"/>
        <w:ind w:left="0" w:firstLine="426" w:firstLineChars="0"/>
        <w:jc w:val="left"/>
        <w:rPr>
          <w:rFonts w:ascii="宋体" w:hAnsi="宋体" w:cs="宋体"/>
          <w:sz w:val="24"/>
        </w:rPr>
      </w:pPr>
      <w:r>
        <w:rPr>
          <w:rFonts w:hint="eastAsia" w:ascii="宋体" w:hAnsi="宋体" w:cs="宋体"/>
          <w:sz w:val="24"/>
        </w:rPr>
        <w:t>甲方的垃圾应集中到校内固定地点，并保证安排人员配合做好垃圾清运。</w:t>
      </w:r>
    </w:p>
    <w:p>
      <w:pPr>
        <w:pStyle w:val="2"/>
        <w:numPr>
          <w:ilvl w:val="0"/>
          <w:numId w:val="4"/>
        </w:numPr>
        <w:spacing w:line="360" w:lineRule="auto"/>
        <w:ind w:left="0" w:firstLine="426" w:firstLineChars="0"/>
        <w:jc w:val="left"/>
        <w:rPr>
          <w:rFonts w:ascii="宋体" w:hAnsi="宋体" w:cs="宋体"/>
          <w:sz w:val="24"/>
        </w:rPr>
      </w:pPr>
      <w:r>
        <w:rPr>
          <w:rFonts w:hint="eastAsia" w:ascii="宋体" w:hAnsi="宋体" w:cs="宋体"/>
          <w:sz w:val="24"/>
        </w:rPr>
        <w:t>甲方在毕业生离校、新生开学、庆典和检查等特殊情况,需提前通知乙方，乙方须配合甲方增加垃圾清运次数。</w:t>
      </w:r>
    </w:p>
    <w:p>
      <w:pPr>
        <w:pStyle w:val="2"/>
        <w:numPr>
          <w:ilvl w:val="0"/>
          <w:numId w:val="4"/>
        </w:numPr>
        <w:spacing w:line="360" w:lineRule="auto"/>
        <w:ind w:left="0" w:firstLine="426" w:firstLineChars="0"/>
        <w:jc w:val="left"/>
        <w:rPr>
          <w:rFonts w:ascii="宋体" w:hAnsi="宋体" w:cs="宋体"/>
          <w:sz w:val="24"/>
        </w:rPr>
      </w:pPr>
      <w:r>
        <w:rPr>
          <w:rFonts w:hint="eastAsia" w:ascii="宋体" w:hAnsi="宋体" w:cs="宋体"/>
          <w:sz w:val="24"/>
        </w:rPr>
        <w:t>甲方为乙方提供垃圾清运车辆的出入通行之便。</w:t>
      </w:r>
    </w:p>
    <w:p>
      <w:pPr>
        <w:pStyle w:val="2"/>
        <w:numPr>
          <w:ilvl w:val="0"/>
          <w:numId w:val="4"/>
        </w:numPr>
        <w:spacing w:line="360" w:lineRule="auto"/>
        <w:ind w:left="0" w:firstLine="426" w:firstLineChars="0"/>
        <w:jc w:val="left"/>
        <w:rPr>
          <w:rFonts w:ascii="宋体" w:hAnsi="宋体" w:cs="宋体"/>
          <w:sz w:val="24"/>
        </w:rPr>
      </w:pPr>
      <w:r>
        <w:rPr>
          <w:rFonts w:hint="eastAsia" w:ascii="宋体" w:hAnsi="宋体" w:cs="宋体"/>
          <w:sz w:val="24"/>
        </w:rPr>
        <w:t>甲方应与乙方协商约定具体清运路线和清运时间。</w:t>
      </w:r>
    </w:p>
    <w:p>
      <w:pPr>
        <w:pStyle w:val="2"/>
        <w:numPr>
          <w:ilvl w:val="0"/>
          <w:numId w:val="4"/>
        </w:numPr>
        <w:spacing w:line="360" w:lineRule="auto"/>
        <w:ind w:left="0" w:firstLine="426" w:firstLineChars="0"/>
        <w:jc w:val="left"/>
        <w:rPr>
          <w:rFonts w:ascii="宋体" w:hAnsi="宋体" w:cs="宋体"/>
          <w:sz w:val="24"/>
        </w:rPr>
      </w:pPr>
      <w:r>
        <w:rPr>
          <w:rFonts w:hint="eastAsia" w:ascii="宋体" w:hAnsi="宋体" w:cs="宋体"/>
          <w:sz w:val="24"/>
        </w:rPr>
        <w:t>甲方及时按合同支付乙方清运服务费，不得无故拖延。</w:t>
      </w:r>
    </w:p>
    <w:p>
      <w:pPr>
        <w:pStyle w:val="14"/>
        <w:spacing w:line="360" w:lineRule="auto"/>
        <w:ind w:right="-153" w:rightChars="-73"/>
        <w:rPr>
          <w:rFonts w:ascii="宋体" w:hAnsi="宋体" w:eastAsia="宋体" w:cs="宋体"/>
          <w:b/>
          <w:sz w:val="24"/>
        </w:rPr>
      </w:pPr>
      <w:r>
        <w:rPr>
          <w:rFonts w:hint="eastAsia" w:ascii="宋体" w:hAnsi="宋体" w:eastAsia="宋体" w:cs="宋体"/>
          <w:b/>
          <w:sz w:val="24"/>
        </w:rPr>
        <w:t>六、乙方的权利和义务</w:t>
      </w:r>
    </w:p>
    <w:p>
      <w:pPr>
        <w:pStyle w:val="2"/>
        <w:numPr>
          <w:ilvl w:val="0"/>
          <w:numId w:val="5"/>
        </w:numPr>
        <w:spacing w:line="360" w:lineRule="auto"/>
        <w:ind w:left="0" w:firstLine="426" w:firstLineChars="0"/>
        <w:jc w:val="left"/>
        <w:rPr>
          <w:rFonts w:ascii="宋体" w:hAnsi="宋体" w:cs="宋体"/>
          <w:sz w:val="24"/>
        </w:rPr>
      </w:pPr>
      <w:r>
        <w:rPr>
          <w:rFonts w:hint="eastAsia" w:ascii="宋体" w:hAnsi="宋体" w:cs="宋体"/>
          <w:sz w:val="24"/>
        </w:rPr>
        <w:t xml:space="preserve">乙方作为联合体的牵头单位，代表联合体双方负责投标和合同实施阶段的主办、协调等相关工作。 </w:t>
      </w:r>
    </w:p>
    <w:p>
      <w:pPr>
        <w:pStyle w:val="2"/>
        <w:numPr>
          <w:ilvl w:val="0"/>
          <w:numId w:val="5"/>
        </w:numPr>
        <w:spacing w:line="360" w:lineRule="auto"/>
        <w:ind w:left="0" w:firstLine="426" w:firstLineChars="0"/>
        <w:jc w:val="left"/>
        <w:rPr>
          <w:rFonts w:ascii="宋体" w:hAnsi="宋体" w:cs="宋体"/>
          <w:sz w:val="24"/>
        </w:rPr>
      </w:pPr>
      <w:r>
        <w:rPr>
          <w:rFonts w:hint="eastAsia" w:ascii="宋体" w:hAnsi="宋体" w:cs="宋体"/>
          <w:sz w:val="24"/>
        </w:rPr>
        <w:t>乙方有权要求甲方提供垃圾清运车辆的出入通行之便。</w:t>
      </w:r>
    </w:p>
    <w:p>
      <w:pPr>
        <w:pStyle w:val="2"/>
        <w:numPr>
          <w:ilvl w:val="0"/>
          <w:numId w:val="5"/>
        </w:numPr>
        <w:spacing w:line="360" w:lineRule="auto"/>
        <w:ind w:left="0" w:firstLine="426" w:firstLineChars="0"/>
        <w:jc w:val="left"/>
        <w:rPr>
          <w:rFonts w:ascii="宋体" w:hAnsi="宋体" w:cs="宋体"/>
          <w:sz w:val="24"/>
        </w:rPr>
      </w:pPr>
      <w:r>
        <w:rPr>
          <w:rFonts w:hint="eastAsia" w:ascii="宋体" w:hAnsi="宋体" w:cs="宋体"/>
          <w:sz w:val="24"/>
        </w:rPr>
        <w:t>乙方与甲方协商约定具体清运路线和清运时间。</w:t>
      </w:r>
    </w:p>
    <w:p>
      <w:pPr>
        <w:pStyle w:val="2"/>
        <w:numPr>
          <w:ilvl w:val="0"/>
          <w:numId w:val="5"/>
        </w:numPr>
        <w:spacing w:line="360" w:lineRule="auto"/>
        <w:ind w:left="0" w:firstLine="426" w:firstLineChars="0"/>
        <w:jc w:val="left"/>
        <w:rPr>
          <w:rFonts w:ascii="宋体" w:hAnsi="宋体" w:cs="宋体"/>
          <w:sz w:val="24"/>
        </w:rPr>
      </w:pPr>
      <w:r>
        <w:rPr>
          <w:rFonts w:hint="eastAsia" w:ascii="宋体" w:hAnsi="宋体" w:cs="宋体"/>
          <w:sz w:val="24"/>
        </w:rPr>
        <w:t>乙方每日对甲方校园内垃圾清运要做到及时、高效，原则上垃圾和泔水需做到日产日清，废弃油脂周清，油脂池半年清，以垃圾滞留不得超过12小时为考核标准，并保持垃圾站点及其周边环境的整洁。运输途中防止垃圾洒落，禁止异地卸放，否则由此造成的</w:t>
      </w:r>
      <w:r>
        <w:fldChar w:fldCharType="begin"/>
      </w:r>
      <w:r>
        <w:instrText xml:space="preserve"> HYPERLINK "http://www.lawtime.cn/info/laodonghetongfa/falvzeren/" \t "_blank" </w:instrText>
      </w:r>
      <w:r>
        <w:fldChar w:fldCharType="separate"/>
      </w:r>
      <w:r>
        <w:rPr>
          <w:rFonts w:hint="eastAsia" w:ascii="宋体" w:hAnsi="宋体" w:cs="宋体"/>
          <w:sz w:val="24"/>
        </w:rPr>
        <w:t>法律责任</w:t>
      </w:r>
      <w:r>
        <w:rPr>
          <w:rFonts w:hint="eastAsia" w:ascii="宋体" w:hAnsi="宋体" w:cs="宋体"/>
          <w:sz w:val="24"/>
        </w:rPr>
        <w:fldChar w:fldCharType="end"/>
      </w:r>
      <w:r>
        <w:rPr>
          <w:rFonts w:hint="eastAsia" w:ascii="宋体" w:hAnsi="宋体" w:cs="宋体"/>
          <w:sz w:val="24"/>
        </w:rPr>
        <w:t>和经济责任由乙方负责并且甲方还要对乙方进行适当的处罚。</w:t>
      </w:r>
    </w:p>
    <w:p>
      <w:pPr>
        <w:pStyle w:val="2"/>
        <w:numPr>
          <w:ilvl w:val="0"/>
          <w:numId w:val="5"/>
        </w:numPr>
        <w:spacing w:line="360" w:lineRule="auto"/>
        <w:ind w:left="0" w:firstLine="426" w:firstLineChars="0"/>
        <w:jc w:val="left"/>
        <w:rPr>
          <w:rFonts w:ascii="宋体" w:hAnsi="宋体" w:cs="宋体"/>
          <w:sz w:val="24"/>
        </w:rPr>
      </w:pPr>
      <w:r>
        <w:rPr>
          <w:rFonts w:hint="eastAsia" w:ascii="宋体" w:hAnsi="宋体" w:cs="宋体"/>
          <w:sz w:val="24"/>
        </w:rPr>
        <w:t>乙方应将收集好的废弃油脂、食堂泔水运到符合《江苏省餐厨废弃物管理办法》规定的餐厨废弃物废弃食用油脂处理场所。</w:t>
      </w:r>
    </w:p>
    <w:p>
      <w:pPr>
        <w:pStyle w:val="2"/>
        <w:numPr>
          <w:ilvl w:val="0"/>
          <w:numId w:val="5"/>
        </w:numPr>
        <w:spacing w:line="360" w:lineRule="auto"/>
        <w:ind w:left="0" w:firstLine="426" w:firstLineChars="0"/>
        <w:jc w:val="left"/>
        <w:rPr>
          <w:rFonts w:ascii="宋体" w:hAnsi="宋体" w:cs="宋体"/>
          <w:sz w:val="24"/>
        </w:rPr>
      </w:pPr>
      <w:r>
        <w:rPr>
          <w:rFonts w:hint="eastAsia" w:ascii="宋体" w:hAnsi="宋体" w:cs="宋体"/>
          <w:sz w:val="24"/>
        </w:rPr>
        <w:t>乙方用于收集、运输废弃油脂、食堂泔水的车辆，应当为全密闭自动卸载车辆，确保密闭、完好和整洁，并喷涂规定的标识标志。</w:t>
      </w:r>
    </w:p>
    <w:p>
      <w:pPr>
        <w:pStyle w:val="2"/>
        <w:numPr>
          <w:ilvl w:val="0"/>
          <w:numId w:val="5"/>
        </w:numPr>
        <w:spacing w:line="360" w:lineRule="auto"/>
        <w:ind w:left="0" w:firstLine="426" w:firstLineChars="0"/>
        <w:jc w:val="left"/>
        <w:rPr>
          <w:rFonts w:ascii="宋体" w:hAnsi="宋体" w:cs="宋体"/>
          <w:sz w:val="24"/>
        </w:rPr>
      </w:pPr>
      <w:r>
        <w:rPr>
          <w:rFonts w:hint="eastAsia" w:ascii="宋体" w:hAnsi="宋体" w:cs="宋体"/>
          <w:sz w:val="24"/>
        </w:rPr>
        <w:t>乙方应建立生活垃圾、废弃油脂和食堂泔水收集、运输台账制度。</w:t>
      </w:r>
    </w:p>
    <w:p>
      <w:pPr>
        <w:pStyle w:val="2"/>
        <w:numPr>
          <w:ilvl w:val="0"/>
          <w:numId w:val="5"/>
        </w:numPr>
        <w:spacing w:line="360" w:lineRule="auto"/>
        <w:ind w:left="0" w:firstLine="426" w:firstLineChars="0"/>
        <w:jc w:val="left"/>
        <w:rPr>
          <w:rFonts w:ascii="宋体" w:hAnsi="宋体" w:cs="宋体"/>
          <w:sz w:val="24"/>
        </w:rPr>
      </w:pPr>
      <w:r>
        <w:rPr>
          <w:rFonts w:hint="eastAsia" w:ascii="宋体" w:hAnsi="宋体" w:cs="宋体"/>
          <w:sz w:val="24"/>
        </w:rPr>
        <w:t xml:space="preserve">在新生开学、毕业离校和其它大型活动期间或应甲方的要求，乙方应无条件增加垃圾清运次数，确保垃圾及时清运出校园，不影响校园环境的整洁、美观。 </w:t>
      </w:r>
    </w:p>
    <w:p>
      <w:pPr>
        <w:pStyle w:val="2"/>
        <w:numPr>
          <w:ilvl w:val="0"/>
          <w:numId w:val="5"/>
        </w:numPr>
        <w:spacing w:line="360" w:lineRule="auto"/>
        <w:ind w:left="0" w:firstLine="426" w:firstLineChars="0"/>
        <w:jc w:val="left"/>
        <w:rPr>
          <w:rFonts w:ascii="宋体" w:hAnsi="宋体" w:cs="宋体"/>
          <w:sz w:val="24"/>
        </w:rPr>
      </w:pPr>
      <w:r>
        <w:rPr>
          <w:rFonts w:hint="eastAsia" w:ascii="宋体" w:hAnsi="宋体" w:cs="宋体"/>
          <w:sz w:val="24"/>
        </w:rPr>
        <w:t>乙方必须安排足够的工作人员、运输车辆、容器和工具为甲方提供垃圾清运服务。</w:t>
      </w:r>
    </w:p>
    <w:p>
      <w:pPr>
        <w:pStyle w:val="2"/>
        <w:numPr>
          <w:ilvl w:val="0"/>
          <w:numId w:val="5"/>
        </w:numPr>
        <w:spacing w:line="360" w:lineRule="auto"/>
        <w:ind w:left="0" w:firstLine="426" w:firstLineChars="0"/>
        <w:jc w:val="left"/>
        <w:rPr>
          <w:rFonts w:ascii="宋体" w:hAnsi="宋体" w:cs="宋体"/>
          <w:sz w:val="24"/>
        </w:rPr>
      </w:pPr>
      <w:r>
        <w:rPr>
          <w:rFonts w:hint="eastAsia" w:ascii="宋体" w:hAnsi="宋体" w:cs="宋体"/>
          <w:sz w:val="24"/>
        </w:rPr>
        <w:t>垃圾收集、清运服务的开展均不得影响甲方日常的管理服务工作，同时乙方在履约过程中应自觉配合甲方工作，接受甲方监督，并依甲方的要求，随时纠正或改进其工作。</w:t>
      </w:r>
    </w:p>
    <w:p>
      <w:pPr>
        <w:pStyle w:val="2"/>
        <w:numPr>
          <w:ilvl w:val="0"/>
          <w:numId w:val="5"/>
        </w:numPr>
        <w:spacing w:line="360" w:lineRule="auto"/>
        <w:ind w:left="0" w:firstLine="426" w:firstLineChars="0"/>
        <w:jc w:val="left"/>
        <w:rPr>
          <w:rFonts w:ascii="宋体" w:hAnsi="宋体" w:cs="宋体"/>
          <w:sz w:val="24"/>
        </w:rPr>
      </w:pPr>
      <w:r>
        <w:rPr>
          <w:rFonts w:hint="eastAsia" w:ascii="宋体" w:hAnsi="宋体" w:cs="宋体"/>
          <w:sz w:val="24"/>
        </w:rPr>
        <w:t>在履约过程中，乙方应自觉维护甲方在公众中的良好形象，严禁在清运过程中分拣垃圾或从事甲方授权范围以外的事宜。</w:t>
      </w:r>
    </w:p>
    <w:p>
      <w:pPr>
        <w:pStyle w:val="2"/>
        <w:numPr>
          <w:ilvl w:val="0"/>
          <w:numId w:val="5"/>
        </w:numPr>
        <w:spacing w:line="360" w:lineRule="auto"/>
        <w:ind w:left="0" w:firstLine="426" w:firstLineChars="0"/>
        <w:jc w:val="left"/>
        <w:rPr>
          <w:rFonts w:ascii="宋体" w:hAnsi="宋体" w:cs="宋体"/>
          <w:sz w:val="24"/>
        </w:rPr>
      </w:pPr>
      <w:r>
        <w:rPr>
          <w:rFonts w:hint="eastAsia" w:ascii="宋体" w:hAnsi="宋体" w:cs="宋体"/>
          <w:sz w:val="24"/>
        </w:rPr>
        <w:t>乙方不得将中标的垃圾清运业务全部或部分转包给其他任何第三人，一旦发现，甲方有权中止合同。</w:t>
      </w:r>
    </w:p>
    <w:p>
      <w:pPr>
        <w:pStyle w:val="2"/>
        <w:numPr>
          <w:ilvl w:val="0"/>
          <w:numId w:val="5"/>
        </w:numPr>
        <w:spacing w:line="360" w:lineRule="auto"/>
        <w:ind w:left="0" w:firstLine="426" w:firstLineChars="0"/>
        <w:jc w:val="left"/>
        <w:rPr>
          <w:rFonts w:ascii="宋体" w:hAnsi="宋体" w:cs="宋体"/>
          <w:sz w:val="24"/>
        </w:rPr>
      </w:pPr>
      <w:r>
        <w:rPr>
          <w:rFonts w:hint="eastAsia" w:ascii="宋体" w:hAnsi="宋体" w:cs="宋体"/>
          <w:sz w:val="24"/>
        </w:rPr>
        <w:t>乙方应服从甲方对出入校园车辆、物品的查验，并且对从业人员在校区内的一切行为负责。</w:t>
      </w:r>
    </w:p>
    <w:p>
      <w:pPr>
        <w:pStyle w:val="2"/>
        <w:numPr>
          <w:ilvl w:val="0"/>
          <w:numId w:val="5"/>
        </w:numPr>
        <w:spacing w:line="360" w:lineRule="auto"/>
        <w:ind w:left="0" w:firstLine="426" w:firstLineChars="0"/>
        <w:jc w:val="left"/>
        <w:rPr>
          <w:rFonts w:ascii="宋体" w:hAnsi="宋体" w:cs="宋体"/>
          <w:sz w:val="24"/>
        </w:rPr>
      </w:pPr>
      <w:r>
        <w:rPr>
          <w:rFonts w:hint="eastAsia" w:ascii="宋体" w:hAnsi="宋体" w:cs="宋体"/>
          <w:sz w:val="24"/>
        </w:rPr>
        <w:t>乙方进入校区的清运车辆必须外观整洁，车况良好，并符合政府部门的有关规定，机动车尾气、噪音等各项指标均达到规定的检测标准；做好防污染措施，车辆在行驶过程中不得沿途散落、遗漏垃圾。</w:t>
      </w:r>
    </w:p>
    <w:p>
      <w:pPr>
        <w:pStyle w:val="2"/>
        <w:numPr>
          <w:ilvl w:val="0"/>
          <w:numId w:val="5"/>
        </w:numPr>
        <w:spacing w:line="360" w:lineRule="auto"/>
        <w:ind w:left="0" w:firstLine="426" w:firstLineChars="0"/>
        <w:jc w:val="left"/>
        <w:rPr>
          <w:rFonts w:ascii="宋体" w:hAnsi="宋体" w:cs="宋体"/>
          <w:sz w:val="24"/>
        </w:rPr>
      </w:pPr>
      <w:r>
        <w:rPr>
          <w:rFonts w:hint="eastAsia" w:ascii="宋体" w:hAnsi="宋体" w:cs="宋体"/>
          <w:sz w:val="24"/>
        </w:rPr>
        <w:t>乙方进入校区的清运车辆须遵守《中华人民共和国道路交通安全法》及校园车辆管理制度，按交通规则及校园内的路标、交通指示牌指引行驶。乙方必须按相关规定购买车辆保险等，乙方在履行本合同过程中，无论何时何地发生交通事故、物件损失、伤及</w:t>
      </w:r>
      <w:r>
        <w:fldChar w:fldCharType="begin"/>
      </w:r>
      <w:r>
        <w:instrText xml:space="preserve"> HYPERLINK "http://xingzheng.lawtime.cn/xzsscjrdisanren/" \t "_blank" </w:instrText>
      </w:r>
      <w:r>
        <w:fldChar w:fldCharType="separate"/>
      </w:r>
      <w:r>
        <w:rPr>
          <w:rFonts w:hint="eastAsia" w:ascii="宋体" w:hAnsi="宋体" w:cs="宋体"/>
          <w:sz w:val="24"/>
        </w:rPr>
        <w:t>第三人</w:t>
      </w:r>
      <w:r>
        <w:rPr>
          <w:rFonts w:hint="eastAsia" w:ascii="宋体" w:hAnsi="宋体" w:cs="宋体"/>
          <w:sz w:val="24"/>
        </w:rPr>
        <w:fldChar w:fldCharType="end"/>
      </w:r>
      <w:r>
        <w:rPr>
          <w:rFonts w:hint="eastAsia" w:ascii="宋体" w:hAnsi="宋体" w:cs="宋体"/>
          <w:sz w:val="24"/>
        </w:rPr>
        <w:t>(人身或财产)，责任由乙方全部负责，甲方不承担任何责任和索赔。</w:t>
      </w:r>
    </w:p>
    <w:p>
      <w:pPr>
        <w:pStyle w:val="2"/>
        <w:numPr>
          <w:ilvl w:val="0"/>
          <w:numId w:val="5"/>
        </w:numPr>
        <w:spacing w:line="360" w:lineRule="auto"/>
        <w:ind w:left="0" w:firstLine="426" w:firstLineChars="0"/>
        <w:jc w:val="left"/>
        <w:rPr>
          <w:rFonts w:ascii="宋体" w:hAnsi="宋体" w:cs="宋体"/>
          <w:sz w:val="24"/>
        </w:rPr>
      </w:pPr>
      <w:r>
        <w:rPr>
          <w:rFonts w:hint="eastAsia" w:ascii="宋体" w:hAnsi="宋体" w:cs="宋体"/>
          <w:sz w:val="24"/>
        </w:rPr>
        <w:t>乙方清运垃圾应符合国家、省市相关安全操作规范和有关环保法规。</w:t>
      </w:r>
    </w:p>
    <w:p>
      <w:pPr>
        <w:pStyle w:val="2"/>
        <w:numPr>
          <w:ilvl w:val="0"/>
          <w:numId w:val="5"/>
        </w:numPr>
        <w:spacing w:line="360" w:lineRule="auto"/>
        <w:ind w:left="0" w:firstLine="426" w:firstLineChars="0"/>
        <w:jc w:val="left"/>
        <w:rPr>
          <w:rFonts w:ascii="宋体" w:hAnsi="宋体" w:cs="宋体"/>
          <w:sz w:val="24"/>
        </w:rPr>
      </w:pPr>
      <w:r>
        <w:rPr>
          <w:rFonts w:hint="eastAsia" w:ascii="宋体" w:hAnsi="宋体" w:cs="宋体"/>
          <w:sz w:val="24"/>
        </w:rPr>
        <w:t>乙方应主动与甲方签订安全服务承诺书，并负责本项目中所有清运服务人员的人身安全和生产设施、设备的生产安全。上述人员和设施、设备出现任何安全问题，均与甲方无关。</w:t>
      </w:r>
    </w:p>
    <w:p>
      <w:pPr>
        <w:pStyle w:val="14"/>
        <w:spacing w:line="360" w:lineRule="auto"/>
        <w:ind w:right="-153" w:rightChars="-73"/>
        <w:rPr>
          <w:rFonts w:ascii="宋体" w:hAnsi="宋体" w:eastAsia="宋体" w:cs="宋体"/>
          <w:b/>
          <w:sz w:val="24"/>
        </w:rPr>
      </w:pPr>
      <w:r>
        <w:rPr>
          <w:rFonts w:hint="eastAsia" w:ascii="宋体" w:hAnsi="宋体" w:eastAsia="宋体" w:cs="宋体"/>
          <w:b/>
          <w:sz w:val="24"/>
        </w:rPr>
        <w:t>七、违约责任</w:t>
      </w:r>
    </w:p>
    <w:p>
      <w:pPr>
        <w:pStyle w:val="2"/>
        <w:numPr>
          <w:ilvl w:val="0"/>
          <w:numId w:val="6"/>
        </w:numPr>
        <w:spacing w:line="360" w:lineRule="auto"/>
        <w:ind w:left="0" w:firstLine="420" w:firstLineChars="0"/>
        <w:jc w:val="left"/>
        <w:rPr>
          <w:rFonts w:ascii="宋体" w:hAnsi="宋体" w:cs="宋体"/>
          <w:sz w:val="24"/>
        </w:rPr>
      </w:pPr>
      <w:r>
        <w:rPr>
          <w:rFonts w:hint="eastAsia" w:ascii="宋体" w:hAnsi="宋体" w:cs="宋体"/>
          <w:sz w:val="24"/>
        </w:rPr>
        <w:t>甲方在履行合同期内，要遵循合同约定按时支付服务费，如延迟超过合同约定支付时间一月，乙方有权向甲方要求按当月服务费金额的5%加收滞纳金。</w:t>
      </w:r>
    </w:p>
    <w:p>
      <w:pPr>
        <w:pStyle w:val="2"/>
        <w:numPr>
          <w:ilvl w:val="0"/>
          <w:numId w:val="6"/>
        </w:numPr>
        <w:spacing w:line="360" w:lineRule="auto"/>
        <w:ind w:left="0" w:firstLine="420" w:firstLineChars="0"/>
        <w:jc w:val="left"/>
        <w:rPr>
          <w:rFonts w:ascii="宋体" w:hAnsi="宋体" w:cs="宋体"/>
          <w:sz w:val="24"/>
        </w:rPr>
      </w:pPr>
      <w:r>
        <w:rPr>
          <w:rFonts w:hint="eastAsia" w:ascii="宋体" w:hAnsi="宋体" w:cs="宋体"/>
          <w:sz w:val="24"/>
        </w:rPr>
        <w:t>乙方如中途未经甲方同意单方中止清运行为，甲方有权拒绝支付清运服务费和保证金，同时乙方每拖延一天必须向甲方支付人民币500元整作为违约金。</w:t>
      </w:r>
    </w:p>
    <w:p>
      <w:pPr>
        <w:pStyle w:val="2"/>
        <w:numPr>
          <w:ilvl w:val="0"/>
          <w:numId w:val="6"/>
        </w:numPr>
        <w:spacing w:line="360" w:lineRule="auto"/>
        <w:ind w:left="0" w:firstLine="420" w:firstLineChars="0"/>
        <w:rPr>
          <w:rFonts w:ascii="宋体" w:hAnsi="宋体" w:cs="宋体"/>
          <w:sz w:val="24"/>
        </w:rPr>
      </w:pPr>
      <w:r>
        <w:rPr>
          <w:rFonts w:hint="eastAsia" w:ascii="宋体" w:hAnsi="宋体" w:cs="宋体"/>
          <w:sz w:val="24"/>
        </w:rPr>
        <w:t>乙方清运垃圾过程中出现服务不及时或服务质量未能达到甲方的要求，甲方应及时将信息反馈给乙方并督促乙方在当日内处理，逾期未能妥当处理的，甲方有权根据实际情况可扣减乙方当月垃圾清运服务费用5%/次-10%/次。</w:t>
      </w:r>
    </w:p>
    <w:p>
      <w:pPr>
        <w:pStyle w:val="14"/>
        <w:spacing w:line="360" w:lineRule="auto"/>
        <w:ind w:right="-153" w:rightChars="-73"/>
        <w:rPr>
          <w:rFonts w:ascii="宋体" w:hAnsi="宋体" w:eastAsia="宋体" w:cs="宋体"/>
          <w:b/>
          <w:sz w:val="24"/>
        </w:rPr>
      </w:pPr>
      <w:r>
        <w:rPr>
          <w:rFonts w:hint="eastAsia" w:ascii="宋体" w:hAnsi="宋体" w:eastAsia="宋体" w:cs="宋体"/>
          <w:b/>
          <w:sz w:val="24"/>
        </w:rPr>
        <w:t>八、其它条款</w:t>
      </w:r>
    </w:p>
    <w:p>
      <w:pPr>
        <w:pStyle w:val="2"/>
        <w:numPr>
          <w:ilvl w:val="0"/>
          <w:numId w:val="7"/>
        </w:numPr>
        <w:spacing w:line="360" w:lineRule="auto"/>
        <w:ind w:left="0" w:firstLine="480"/>
        <w:rPr>
          <w:rFonts w:ascii="宋体" w:hAnsi="宋体" w:cs="宋体"/>
          <w:sz w:val="24"/>
        </w:rPr>
      </w:pPr>
      <w:r>
        <w:rPr>
          <w:rFonts w:hint="eastAsia" w:ascii="宋体" w:hAnsi="宋体" w:cs="宋体"/>
          <w:sz w:val="24"/>
        </w:rPr>
        <w:t>本合同未尽事宜，经双方协商，作出补充规定。其补充规定与本合同有同等法律效力。</w:t>
      </w:r>
    </w:p>
    <w:p>
      <w:pPr>
        <w:pStyle w:val="2"/>
        <w:numPr>
          <w:ilvl w:val="0"/>
          <w:numId w:val="7"/>
        </w:numPr>
        <w:spacing w:line="360" w:lineRule="auto"/>
        <w:ind w:left="0" w:firstLine="480"/>
        <w:rPr>
          <w:rFonts w:ascii="宋体" w:hAnsi="宋体" w:cs="宋体"/>
          <w:sz w:val="24"/>
        </w:rPr>
      </w:pPr>
      <w:r>
        <w:rPr>
          <w:rFonts w:hint="eastAsia" w:ascii="宋体" w:hAnsi="宋体" w:cs="宋体"/>
          <w:sz w:val="24"/>
        </w:rPr>
        <w:t>本合同如发生纠纷，甲乙双方应积极协商，协商不成时，可向当地法院提起诉讼。</w:t>
      </w:r>
    </w:p>
    <w:p>
      <w:pPr>
        <w:pStyle w:val="2"/>
        <w:numPr>
          <w:ilvl w:val="0"/>
          <w:numId w:val="7"/>
        </w:numPr>
        <w:spacing w:line="360" w:lineRule="auto"/>
        <w:ind w:left="0" w:firstLine="480"/>
        <w:rPr>
          <w:rFonts w:ascii="宋体" w:hAnsi="宋体" w:cs="宋体"/>
          <w:sz w:val="24"/>
        </w:rPr>
      </w:pPr>
      <w:r>
        <w:rPr>
          <w:rFonts w:hint="eastAsia" w:ascii="宋体" w:hAnsi="宋体" w:cs="宋体"/>
          <w:sz w:val="24"/>
        </w:rPr>
        <w:t>本合同一式陆份，甲方乙方双方各执叁份份，具有同等法律效力。</w:t>
      </w:r>
    </w:p>
    <w:p>
      <w:pPr>
        <w:pStyle w:val="34"/>
        <w:adjustRightInd/>
        <w:spacing w:line="360" w:lineRule="auto"/>
        <w:ind w:left="354"/>
        <w:jc w:val="both"/>
        <w:textAlignment w:val="auto"/>
        <w:outlineLvl w:val="9"/>
        <w:rPr>
          <w:rFonts w:ascii="宋体" w:hAnsi="宋体" w:cs="宋体"/>
          <w:b w:val="0"/>
          <w:sz w:val="24"/>
          <w:szCs w:val="24"/>
        </w:rPr>
      </w:pPr>
      <w:r>
        <w:rPr>
          <w:rFonts w:hint="eastAsia" w:ascii="宋体" w:hAnsi="宋体" w:cs="宋体"/>
          <w:b w:val="0"/>
          <w:sz w:val="24"/>
          <w:szCs w:val="24"/>
        </w:rPr>
        <w:t>本合同经双方签字盖章之日起生效。</w:t>
      </w:r>
    </w:p>
    <w:p/>
    <w:p>
      <w:pPr>
        <w:pStyle w:val="14"/>
        <w:spacing w:line="360" w:lineRule="auto"/>
        <w:ind w:right="-153" w:rightChars="-73"/>
        <w:jc w:val="left"/>
        <w:rPr>
          <w:rFonts w:ascii="宋体" w:hAnsi="宋体" w:eastAsia="宋体" w:cs="宋体"/>
          <w:b/>
          <w:sz w:val="28"/>
          <w:szCs w:val="21"/>
        </w:rPr>
      </w:pPr>
      <w:r>
        <w:rPr>
          <w:rFonts w:hint="eastAsia" w:ascii="宋体" w:hAnsi="宋体" w:eastAsia="宋体" w:cs="宋体"/>
          <w:b/>
          <w:sz w:val="28"/>
          <w:szCs w:val="21"/>
        </w:rPr>
        <w:t>附件：南京工业职业技术大学垃圾清运服务管理规定</w:t>
      </w:r>
    </w:p>
    <w:p>
      <w:pPr>
        <w:spacing w:line="360" w:lineRule="auto"/>
      </w:pPr>
    </w:p>
    <w:p>
      <w:pPr>
        <w:pStyle w:val="2"/>
        <w:numPr>
          <w:ilvl w:val="0"/>
          <w:numId w:val="8"/>
        </w:numPr>
        <w:spacing w:line="360" w:lineRule="auto"/>
        <w:ind w:left="0" w:firstLine="420" w:firstLineChars="0"/>
        <w:rPr>
          <w:rFonts w:ascii="宋体" w:hAnsi="宋体" w:cs="宋体"/>
          <w:sz w:val="24"/>
        </w:rPr>
      </w:pPr>
      <w:r>
        <w:rPr>
          <w:rFonts w:hint="eastAsia" w:ascii="宋体" w:hAnsi="宋体" w:cs="宋体"/>
          <w:sz w:val="24"/>
        </w:rPr>
        <w:t>乙方进入校区的清运车辆须遵守《中华人民共和国道路交通安全法》及校园车辆管理制度，按交通规则及校园内的路标、交通指示牌指引行驶。</w:t>
      </w:r>
    </w:p>
    <w:p>
      <w:pPr>
        <w:pStyle w:val="2"/>
        <w:numPr>
          <w:ilvl w:val="0"/>
          <w:numId w:val="8"/>
        </w:numPr>
        <w:spacing w:line="360" w:lineRule="auto"/>
        <w:ind w:left="0" w:firstLine="420" w:firstLineChars="0"/>
        <w:rPr>
          <w:rFonts w:ascii="宋体" w:hAnsi="宋体" w:cs="宋体"/>
          <w:sz w:val="24"/>
        </w:rPr>
      </w:pPr>
      <w:r>
        <w:rPr>
          <w:rFonts w:hint="eastAsia" w:ascii="宋体" w:hAnsi="宋体" w:cs="宋体"/>
          <w:sz w:val="24"/>
        </w:rPr>
        <w:t>乙方进入校区的清运车辆必须外观整洁，车况良好。</w:t>
      </w:r>
    </w:p>
    <w:p>
      <w:pPr>
        <w:pStyle w:val="2"/>
        <w:numPr>
          <w:ilvl w:val="0"/>
          <w:numId w:val="8"/>
        </w:numPr>
        <w:spacing w:line="360" w:lineRule="auto"/>
        <w:ind w:left="0" w:firstLine="420" w:firstLineChars="0"/>
        <w:rPr>
          <w:rFonts w:ascii="宋体" w:hAnsi="宋体" w:cs="宋体"/>
          <w:sz w:val="24"/>
        </w:rPr>
      </w:pPr>
      <w:r>
        <w:rPr>
          <w:rFonts w:hint="eastAsia" w:ascii="宋体" w:hAnsi="宋体" w:cs="宋体"/>
          <w:sz w:val="24"/>
        </w:rPr>
        <w:t>做好防污染措施，车辆在行驶过程中不得沿途散落、遗漏垃圾。</w:t>
      </w:r>
    </w:p>
    <w:p>
      <w:pPr>
        <w:pStyle w:val="2"/>
        <w:numPr>
          <w:ilvl w:val="0"/>
          <w:numId w:val="8"/>
        </w:numPr>
        <w:spacing w:line="360" w:lineRule="auto"/>
        <w:ind w:left="0" w:firstLine="420" w:firstLineChars="0"/>
        <w:rPr>
          <w:rFonts w:ascii="宋体" w:hAnsi="宋体" w:cs="宋体"/>
          <w:sz w:val="24"/>
        </w:rPr>
      </w:pPr>
      <w:r>
        <w:rPr>
          <w:rFonts w:hint="eastAsia" w:ascii="宋体" w:hAnsi="宋体" w:cs="宋体"/>
          <w:sz w:val="24"/>
        </w:rPr>
        <w:t>乙方每日在甲方规定的时间内进行清运。</w:t>
      </w:r>
    </w:p>
    <w:p>
      <w:pPr>
        <w:pStyle w:val="2"/>
        <w:numPr>
          <w:ilvl w:val="0"/>
          <w:numId w:val="8"/>
        </w:numPr>
        <w:spacing w:line="360" w:lineRule="auto"/>
        <w:ind w:left="0" w:firstLine="420" w:firstLineChars="0"/>
        <w:rPr>
          <w:rFonts w:ascii="宋体" w:hAnsi="宋体" w:cs="宋体"/>
          <w:sz w:val="24"/>
        </w:rPr>
      </w:pPr>
      <w:r>
        <w:rPr>
          <w:rFonts w:hint="eastAsia" w:ascii="宋体" w:hAnsi="宋体" w:cs="宋体"/>
          <w:sz w:val="24"/>
        </w:rPr>
        <w:t>在新生开学期间、毕业生返校期间或应甲方人的要求，乙方应增加工作人员及清运密度，确保垃圾及时清运，不影响校园环境的整洁、美观。</w:t>
      </w:r>
    </w:p>
    <w:p>
      <w:pPr>
        <w:pStyle w:val="2"/>
        <w:numPr>
          <w:ilvl w:val="0"/>
          <w:numId w:val="8"/>
        </w:numPr>
        <w:spacing w:line="360" w:lineRule="auto"/>
        <w:ind w:left="0" w:firstLine="420" w:firstLineChars="0"/>
        <w:rPr>
          <w:rFonts w:ascii="宋体" w:hAnsi="宋体" w:cs="宋体"/>
          <w:sz w:val="24"/>
        </w:rPr>
      </w:pPr>
      <w:r>
        <w:rPr>
          <w:rFonts w:hint="eastAsia" w:ascii="宋体" w:hAnsi="宋体" w:cs="宋体"/>
          <w:sz w:val="24"/>
        </w:rPr>
        <w:t>乙方将收集废弃油脂、食堂泔水运到符合《江苏省餐厨废弃物管理办法》规定的餐厨废弃物废弃食用油脂处理场所。</w:t>
      </w:r>
    </w:p>
    <w:p>
      <w:pPr>
        <w:pStyle w:val="2"/>
        <w:numPr>
          <w:ilvl w:val="0"/>
          <w:numId w:val="8"/>
        </w:numPr>
        <w:spacing w:line="360" w:lineRule="auto"/>
        <w:ind w:left="0" w:firstLine="420" w:firstLineChars="0"/>
        <w:rPr>
          <w:rFonts w:ascii="宋体" w:hAnsi="宋体" w:cs="宋体"/>
          <w:sz w:val="24"/>
        </w:rPr>
      </w:pPr>
      <w:r>
        <w:rPr>
          <w:rFonts w:hint="eastAsia" w:ascii="宋体" w:hAnsi="宋体" w:cs="宋体"/>
          <w:sz w:val="24"/>
        </w:rPr>
        <w:t>乙方用于收集、运输废弃油脂、食堂泔水的车辆，应当为全密闭自动卸载车辆，确保密闭、完好和整洁，并喷涂规定的标识标志。</w:t>
      </w:r>
    </w:p>
    <w:p>
      <w:pPr>
        <w:pStyle w:val="2"/>
        <w:numPr>
          <w:ilvl w:val="0"/>
          <w:numId w:val="8"/>
        </w:numPr>
        <w:spacing w:line="360" w:lineRule="auto"/>
        <w:ind w:left="0" w:firstLine="420" w:firstLineChars="0"/>
        <w:rPr>
          <w:rFonts w:ascii="宋体" w:hAnsi="宋体" w:cs="宋体"/>
          <w:sz w:val="24"/>
        </w:rPr>
      </w:pPr>
      <w:r>
        <w:rPr>
          <w:rFonts w:hint="eastAsia" w:ascii="宋体" w:hAnsi="宋体" w:cs="宋体"/>
          <w:sz w:val="24"/>
        </w:rPr>
        <w:t>乙方应建立生活垃圾、废弃油脂和食堂泔水收集、运输台账制度。</w:t>
      </w:r>
    </w:p>
    <w:p>
      <w:pPr>
        <w:pStyle w:val="3"/>
        <w:jc w:val="center"/>
        <w:rPr>
          <w:rFonts w:ascii="黑体" w:eastAsia="黑体"/>
          <w:b/>
          <w:sz w:val="44"/>
          <w:szCs w:val="44"/>
        </w:rPr>
      </w:pPr>
      <w:r>
        <w:rPr>
          <w:rFonts w:hint="eastAsia"/>
        </w:rPr>
        <w:br w:type="page"/>
      </w:r>
      <w:r>
        <w:rPr>
          <w:rFonts w:hint="eastAsia" w:ascii="黑体" w:eastAsia="黑体"/>
          <w:b/>
          <w:sz w:val="44"/>
          <w:szCs w:val="44"/>
        </w:rPr>
        <w:t>第四章 项目需求</w:t>
      </w:r>
    </w:p>
    <w:p>
      <w:pPr>
        <w:spacing w:line="276" w:lineRule="auto"/>
        <w:outlineLvl w:val="1"/>
        <w:rPr>
          <w:rFonts w:ascii="宋体" w:hAnsi="宋体"/>
          <w:b/>
          <w:sz w:val="24"/>
        </w:rPr>
      </w:pPr>
      <w:bookmarkStart w:id="107" w:name="_Toc23828480"/>
      <w:bookmarkStart w:id="108" w:name="_Toc26554097"/>
      <w:bookmarkStart w:id="109" w:name="_Toc61149622"/>
      <w:r>
        <w:rPr>
          <w:rFonts w:hint="eastAsia" w:ascii="宋体" w:hAnsi="宋体"/>
          <w:b/>
          <w:sz w:val="24"/>
        </w:rPr>
        <w:t>一、项目概况</w:t>
      </w:r>
    </w:p>
    <w:p>
      <w:pPr>
        <w:spacing w:line="360" w:lineRule="auto"/>
        <w:ind w:firstLine="484" w:firstLineChars="202"/>
        <w:rPr>
          <w:rFonts w:ascii="宋体" w:hAnsi="宋体" w:cs="宋体"/>
          <w:kern w:val="0"/>
          <w:sz w:val="24"/>
        </w:rPr>
      </w:pPr>
      <w:r>
        <w:rPr>
          <w:rFonts w:hint="eastAsia" w:ascii="宋体" w:hAnsi="宋体" w:cs="宋体"/>
          <w:kern w:val="0"/>
          <w:sz w:val="24"/>
        </w:rPr>
        <w:t>南京工业职业技术大学天堂校区位于南京市秦淮区军农路14号，占地面积约84亩，建筑面积约40872.28平方米，全日制在校生1000余人。</w:t>
      </w:r>
    </w:p>
    <w:p>
      <w:pPr>
        <w:spacing w:line="360" w:lineRule="auto"/>
        <w:ind w:firstLine="484" w:firstLineChars="202"/>
        <w:rPr>
          <w:rFonts w:ascii="黑体" w:hAnsi="黑体" w:eastAsia="黑体" w:cs="黑体"/>
          <w:kern w:val="0"/>
          <w:sz w:val="24"/>
        </w:rPr>
      </w:pPr>
      <w:r>
        <w:rPr>
          <w:rFonts w:hint="eastAsia" w:ascii="黑体" w:hAnsi="黑体" w:eastAsia="黑体" w:cs="黑体"/>
          <w:kern w:val="0"/>
          <w:sz w:val="24"/>
        </w:rPr>
        <w:t>1.1服务内容</w:t>
      </w:r>
    </w:p>
    <w:p>
      <w:pPr>
        <w:spacing w:line="360" w:lineRule="auto"/>
        <w:ind w:firstLine="484" w:firstLineChars="202"/>
        <w:rPr>
          <w:rFonts w:ascii="宋体" w:hAnsi="宋体" w:cs="宋体"/>
          <w:kern w:val="0"/>
          <w:sz w:val="24"/>
        </w:rPr>
      </w:pPr>
      <w:r>
        <w:rPr>
          <w:rFonts w:hint="eastAsia" w:ascii="宋体" w:hAnsi="宋体" w:cs="宋体"/>
          <w:kern w:val="0"/>
          <w:sz w:val="24"/>
        </w:rPr>
        <w:t>天堂校区内全校师生日常生活所产生的全部生活垃圾、食堂泔水和废弃油脂、杂物及少量建筑垃圾等垃圾清运出校园服务，并按国家相关法律法规要求运送至指定垃圾清倒点的全过程服务。</w:t>
      </w:r>
    </w:p>
    <w:p>
      <w:pPr>
        <w:spacing w:line="360" w:lineRule="auto"/>
        <w:ind w:firstLine="484" w:firstLineChars="202"/>
        <w:rPr>
          <w:rFonts w:ascii="黑体" w:hAnsi="黑体" w:eastAsia="黑体" w:cs="黑体"/>
          <w:kern w:val="0"/>
          <w:sz w:val="24"/>
        </w:rPr>
      </w:pPr>
      <w:r>
        <w:rPr>
          <w:rFonts w:hint="eastAsia" w:ascii="黑体" w:hAnsi="黑体" w:eastAsia="黑体" w:cs="黑体"/>
          <w:kern w:val="0"/>
          <w:sz w:val="24"/>
        </w:rPr>
        <w:t>1.2服务要求</w:t>
      </w:r>
    </w:p>
    <w:p>
      <w:pPr>
        <w:spacing w:line="360" w:lineRule="auto"/>
        <w:ind w:firstLine="484" w:firstLineChars="202"/>
        <w:rPr>
          <w:rFonts w:ascii="宋体" w:hAnsi="宋体" w:cs="宋体"/>
          <w:kern w:val="0"/>
          <w:sz w:val="24"/>
        </w:rPr>
      </w:pPr>
      <w:r>
        <w:rPr>
          <w:rFonts w:hint="eastAsia" w:ascii="宋体" w:hAnsi="宋体" w:cs="宋体"/>
          <w:kern w:val="0"/>
          <w:sz w:val="24"/>
        </w:rPr>
        <w:t>及时：垃圾和泔水必须保证日产日清，废弃油脂每周清一次，废弃油脂池每半年清一次。</w:t>
      </w:r>
    </w:p>
    <w:p>
      <w:pPr>
        <w:spacing w:line="360" w:lineRule="auto"/>
        <w:ind w:firstLine="484" w:firstLineChars="202"/>
        <w:rPr>
          <w:rFonts w:ascii="宋体" w:hAnsi="宋体" w:cs="宋体"/>
          <w:kern w:val="0"/>
          <w:sz w:val="24"/>
        </w:rPr>
      </w:pPr>
      <w:r>
        <w:rPr>
          <w:rFonts w:hint="eastAsia" w:ascii="宋体" w:hAnsi="宋体" w:cs="宋体"/>
          <w:kern w:val="0"/>
          <w:sz w:val="24"/>
        </w:rPr>
        <w:t>合规：要求协议执行过程符合政府相关法律法规的规定。</w:t>
      </w:r>
    </w:p>
    <w:p>
      <w:pPr>
        <w:spacing w:line="360" w:lineRule="auto"/>
        <w:ind w:firstLine="484" w:firstLineChars="202"/>
        <w:rPr>
          <w:rFonts w:ascii="宋体" w:hAnsi="宋体" w:cs="宋体"/>
          <w:kern w:val="0"/>
          <w:sz w:val="24"/>
        </w:rPr>
      </w:pPr>
      <w:r>
        <w:rPr>
          <w:rFonts w:hint="eastAsia" w:ascii="宋体" w:hAnsi="宋体" w:cs="宋体"/>
          <w:kern w:val="0"/>
          <w:sz w:val="24"/>
        </w:rPr>
        <w:t>高效：不得出现上门不及时，清运不彻底，原则上应保证垃圾滞留不超过12小时。</w:t>
      </w:r>
    </w:p>
    <w:p>
      <w:pPr>
        <w:spacing w:line="360" w:lineRule="auto"/>
        <w:ind w:firstLine="484" w:firstLineChars="202"/>
        <w:rPr>
          <w:rFonts w:ascii="宋体" w:hAnsi="宋体" w:cs="宋体"/>
          <w:kern w:val="0"/>
          <w:sz w:val="24"/>
        </w:rPr>
      </w:pPr>
      <w:r>
        <w:rPr>
          <w:rFonts w:hint="eastAsia" w:ascii="宋体" w:hAnsi="宋体" w:cs="宋体"/>
          <w:kern w:val="0"/>
          <w:sz w:val="24"/>
        </w:rPr>
        <w:t>保质：投标公司须有保证品质的考核办法和奖惩措施，保障服务内容的有效执行。</w:t>
      </w:r>
    </w:p>
    <w:p>
      <w:pPr>
        <w:spacing w:line="360" w:lineRule="auto"/>
        <w:ind w:firstLine="484" w:firstLineChars="202"/>
        <w:rPr>
          <w:rFonts w:ascii="宋体" w:hAnsi="宋体" w:cs="宋体"/>
          <w:kern w:val="0"/>
          <w:sz w:val="24"/>
        </w:rPr>
      </w:pPr>
      <w:r>
        <w:rPr>
          <w:rFonts w:hint="eastAsia" w:ascii="宋体" w:hAnsi="宋体" w:cs="宋体"/>
          <w:kern w:val="0"/>
          <w:sz w:val="24"/>
        </w:rPr>
        <w:t>灵活：在学校有重大活动、毕业生离校、新生报到等关键时点，需适时增加垃圾清运频次，保障校园环境。</w:t>
      </w:r>
    </w:p>
    <w:p>
      <w:pPr>
        <w:spacing w:line="360" w:lineRule="auto"/>
        <w:ind w:firstLine="484" w:firstLineChars="202"/>
        <w:rPr>
          <w:rFonts w:ascii="黑体" w:hAnsi="黑体" w:eastAsia="黑体" w:cs="黑体"/>
          <w:kern w:val="0"/>
          <w:sz w:val="24"/>
        </w:rPr>
      </w:pPr>
      <w:r>
        <w:rPr>
          <w:rFonts w:hint="eastAsia" w:ascii="黑体" w:hAnsi="黑体" w:eastAsia="黑体" w:cs="黑体"/>
          <w:kern w:val="0"/>
          <w:sz w:val="24"/>
        </w:rPr>
        <w:t>1.3 服务日期</w:t>
      </w:r>
    </w:p>
    <w:p>
      <w:pPr>
        <w:widowControl/>
        <w:shd w:val="clear" w:color="auto" w:fill="FFFFFF"/>
        <w:spacing w:line="360" w:lineRule="auto"/>
        <w:ind w:left="225" w:leftChars="50" w:hanging="120" w:hangingChars="50"/>
        <w:jc w:val="left"/>
        <w:rPr>
          <w:rFonts w:ascii="宋体" w:hAnsi="宋体" w:cs="宋体"/>
          <w:kern w:val="0"/>
          <w:sz w:val="24"/>
        </w:rPr>
      </w:pPr>
      <w:r>
        <w:rPr>
          <w:rFonts w:hint="eastAsia" w:ascii="宋体" w:hAnsi="宋体" w:cs="宋体"/>
          <w:kern w:val="0"/>
          <w:sz w:val="24"/>
        </w:rPr>
        <w:t xml:space="preserve">本项目服务期限为壹年，服务日期自 </w:t>
      </w:r>
      <w:r>
        <w:rPr>
          <w:rFonts w:ascii="宋体" w:hAnsi="宋体" w:cs="宋体"/>
          <w:kern w:val="0"/>
          <w:sz w:val="24"/>
        </w:rPr>
        <w:t xml:space="preserve">    </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rPr>
        <w:t>月</w:t>
      </w:r>
      <w:r>
        <w:rPr>
          <w:rFonts w:ascii="宋体" w:hAnsi="宋体" w:cs="宋体"/>
          <w:kern w:val="0"/>
          <w:sz w:val="24"/>
        </w:rPr>
        <w:t xml:space="preserve">    </w:t>
      </w:r>
      <w:r>
        <w:rPr>
          <w:rFonts w:hint="eastAsia" w:ascii="宋体" w:hAnsi="宋体" w:cs="宋体"/>
          <w:kern w:val="0"/>
          <w:sz w:val="24"/>
        </w:rPr>
        <w:t>日起至</w:t>
      </w:r>
      <w:r>
        <w:rPr>
          <w:rFonts w:ascii="宋体" w:hAnsi="宋体" w:cs="宋体"/>
          <w:kern w:val="0"/>
          <w:sz w:val="24"/>
        </w:rPr>
        <w:t xml:space="preserve">    </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rPr>
        <w:t>月</w:t>
      </w:r>
      <w:r>
        <w:rPr>
          <w:rFonts w:ascii="宋体" w:hAnsi="宋体" w:cs="宋体"/>
          <w:kern w:val="0"/>
          <w:sz w:val="24"/>
        </w:rPr>
        <w:t xml:space="preserve">    </w:t>
      </w:r>
      <w:r>
        <w:rPr>
          <w:rFonts w:hint="eastAsia" w:ascii="宋体" w:hAnsi="宋体" w:cs="宋体"/>
          <w:kern w:val="0"/>
          <w:sz w:val="24"/>
        </w:rPr>
        <w:t>日止。</w:t>
      </w:r>
    </w:p>
    <w:p>
      <w:pPr>
        <w:spacing w:line="360" w:lineRule="auto"/>
        <w:ind w:firstLine="484" w:firstLineChars="202"/>
        <w:rPr>
          <w:rFonts w:ascii="黑体" w:hAnsi="黑体" w:eastAsia="黑体" w:cs="黑体"/>
          <w:kern w:val="0"/>
          <w:sz w:val="24"/>
          <w:highlight w:val="none"/>
        </w:rPr>
      </w:pPr>
      <w:r>
        <w:rPr>
          <w:rFonts w:hint="eastAsia" w:ascii="黑体" w:hAnsi="黑体" w:eastAsia="黑体" w:cs="黑体"/>
          <w:kern w:val="0"/>
          <w:sz w:val="24"/>
          <w:highlight w:val="none"/>
        </w:rPr>
        <w:t>1.4 付款方式</w:t>
      </w:r>
    </w:p>
    <w:p>
      <w:pPr>
        <w:pStyle w:val="2"/>
        <w:ind w:firstLine="480"/>
        <w:rPr>
          <w:rFonts w:ascii="黑体" w:hAnsi="黑体" w:eastAsia="黑体" w:cs="黑体"/>
          <w:kern w:val="0"/>
          <w:sz w:val="24"/>
          <w:highlight w:val="yellow"/>
        </w:rPr>
      </w:pPr>
      <w:r>
        <w:rPr>
          <w:rFonts w:hint="eastAsia" w:ascii="宋体" w:hAnsi="宋体" w:cs="宋体"/>
          <w:color w:val="000000"/>
          <w:sz w:val="24"/>
          <w:szCs w:val="24"/>
        </w:rPr>
        <w:t>费用合计为人民币</w:t>
      </w:r>
      <w:r>
        <w:rPr>
          <w:rFonts w:ascii="宋体" w:hAnsi="宋体" w:cs="宋体"/>
          <w:color w:val="000000"/>
          <w:sz w:val="24"/>
          <w:szCs w:val="24"/>
          <w:u w:val="single"/>
        </w:rPr>
        <w:t xml:space="preserve">        </w:t>
      </w:r>
      <w:r>
        <w:rPr>
          <w:rFonts w:hint="eastAsia" w:ascii="宋体" w:hAnsi="宋体" w:cs="宋体"/>
          <w:color w:val="000000"/>
          <w:sz w:val="24"/>
          <w:szCs w:val="24"/>
          <w:u w:val="single"/>
        </w:rPr>
        <w:t xml:space="preserve"> 元（大写： </w:t>
      </w:r>
      <w:r>
        <w:rPr>
          <w:rFonts w:ascii="宋体" w:hAnsi="宋体" w:cs="宋体"/>
          <w:color w:val="000000"/>
          <w:sz w:val="24"/>
          <w:szCs w:val="24"/>
          <w:u w:val="single"/>
        </w:rPr>
        <w:t xml:space="preserve">          </w:t>
      </w:r>
      <w:r>
        <w:rPr>
          <w:rFonts w:hint="eastAsia" w:ascii="宋体" w:hAnsi="宋体" w:cs="宋体"/>
          <w:color w:val="000000"/>
          <w:sz w:val="24"/>
          <w:szCs w:val="24"/>
          <w:u w:val="single"/>
        </w:rPr>
        <w:t>圆整）</w:t>
      </w:r>
      <w:r>
        <w:rPr>
          <w:rFonts w:hint="eastAsia" w:ascii="宋体" w:hAnsi="宋体" w:cs="宋体"/>
          <w:color w:val="000000"/>
          <w:sz w:val="24"/>
          <w:szCs w:val="24"/>
        </w:rPr>
        <w:t>，该费用由甲方按月结算给乙方。乙方提供</w:t>
      </w:r>
    </w:p>
    <w:p>
      <w:pPr>
        <w:spacing w:line="360" w:lineRule="auto"/>
        <w:ind w:firstLine="484" w:firstLineChars="202"/>
        <w:rPr>
          <w:rFonts w:ascii="黑体" w:hAnsi="黑体" w:eastAsia="黑体" w:cs="黑体"/>
          <w:kern w:val="0"/>
          <w:sz w:val="24"/>
        </w:rPr>
      </w:pPr>
      <w:r>
        <w:rPr>
          <w:rFonts w:hint="eastAsia" w:ascii="黑体" w:hAnsi="黑体" w:eastAsia="黑体" w:cs="黑体"/>
          <w:kern w:val="0"/>
          <w:sz w:val="24"/>
        </w:rPr>
        <w:t>1.5 现场勘探</w:t>
      </w:r>
    </w:p>
    <w:p>
      <w:pPr>
        <w:spacing w:line="360" w:lineRule="auto"/>
        <w:ind w:firstLine="480" w:firstLineChars="200"/>
        <w:rPr>
          <w:rFonts w:ascii="宋体" w:hAnsi="宋体" w:cs="宋体"/>
          <w:kern w:val="0"/>
          <w:sz w:val="24"/>
          <w:highlight w:val="none"/>
        </w:rPr>
      </w:pPr>
      <w:r>
        <w:rPr>
          <w:rFonts w:hint="eastAsia" w:ascii="宋体" w:hAnsi="宋体" w:cs="宋体"/>
          <w:kern w:val="0"/>
          <w:sz w:val="24"/>
        </w:rPr>
        <w:t>投标单位须在投标前自行到现场踏堪，以便根据招标要求及服务年限合理确定投标价</w:t>
      </w:r>
      <w:r>
        <w:rPr>
          <w:rFonts w:hint="eastAsia" w:ascii="宋体" w:hAnsi="宋体" w:cs="宋体"/>
          <w:kern w:val="0"/>
          <w:sz w:val="24"/>
          <w:highlight w:val="none"/>
        </w:rPr>
        <w:t xml:space="preserve">格。勘察联系人：王辉 </w:t>
      </w:r>
      <w:r>
        <w:rPr>
          <w:rFonts w:ascii="宋体" w:hAnsi="宋体" w:cs="宋体"/>
          <w:kern w:val="0"/>
          <w:sz w:val="24"/>
          <w:highlight w:val="none"/>
        </w:rPr>
        <w:t xml:space="preserve">  </w:t>
      </w:r>
      <w:r>
        <w:rPr>
          <w:rFonts w:hint="eastAsia" w:ascii="宋体" w:hAnsi="宋体" w:cs="宋体"/>
          <w:kern w:val="0"/>
          <w:sz w:val="24"/>
          <w:highlight w:val="none"/>
        </w:rPr>
        <w:t>电话：</w:t>
      </w:r>
      <w:r>
        <w:rPr>
          <w:rFonts w:hint="eastAsia" w:ascii="宋体" w:hAnsi="宋体"/>
          <w:b/>
          <w:sz w:val="24"/>
          <w:highlight w:val="none"/>
        </w:rPr>
        <w:t>13601402883</w:t>
      </w:r>
    </w:p>
    <w:p>
      <w:pPr>
        <w:pStyle w:val="2"/>
        <w:rPr>
          <w:highlight w:val="none"/>
        </w:rPr>
      </w:pPr>
      <w:r>
        <w:rPr>
          <w:rFonts w:hint="eastAsia"/>
          <w:highlight w:val="none"/>
        </w:rPr>
        <w:t>1.6  履约保证金</w:t>
      </w:r>
    </w:p>
    <w:p>
      <w:pPr>
        <w:spacing w:line="400" w:lineRule="exact"/>
        <w:ind w:firstLine="362" w:firstLineChars="151"/>
        <w:rPr>
          <w:rFonts w:ascii="宋体" w:hAnsi="宋体"/>
          <w:sz w:val="24"/>
          <w:szCs w:val="28"/>
          <w:highlight w:val="none"/>
        </w:rPr>
      </w:pPr>
      <w:r>
        <w:rPr>
          <w:rFonts w:hint="eastAsia" w:ascii="宋体" w:hAnsi="宋体"/>
          <w:sz w:val="24"/>
          <w:szCs w:val="28"/>
          <w:highlight w:val="none"/>
        </w:rPr>
        <w:t>1、乙方在与甲方签订合同时须向甲方缴纳履约保证金壹万元整，受托管理期满如不续约，甲方予以无息退还。</w:t>
      </w:r>
    </w:p>
    <w:p>
      <w:pPr>
        <w:tabs>
          <w:tab w:val="left" w:pos="0"/>
          <w:tab w:val="left" w:pos="1701"/>
        </w:tabs>
        <w:spacing w:line="400" w:lineRule="exact"/>
        <w:ind w:firstLine="562"/>
        <w:contextualSpacing/>
        <w:rPr>
          <w:rFonts w:ascii="宋体" w:hAnsi="宋体"/>
          <w:sz w:val="24"/>
          <w:szCs w:val="28"/>
          <w:highlight w:val="none"/>
        </w:rPr>
      </w:pPr>
      <w:r>
        <w:rPr>
          <w:rFonts w:hint="eastAsia" w:ascii="宋体" w:hAnsi="宋体"/>
          <w:bCs/>
          <w:sz w:val="24"/>
          <w:szCs w:val="28"/>
          <w:highlight w:val="none"/>
        </w:rPr>
        <w:t>2、</w:t>
      </w:r>
      <w:r>
        <w:rPr>
          <w:rFonts w:hint="eastAsia" w:ascii="宋体" w:hAnsi="宋体"/>
          <w:sz w:val="24"/>
          <w:szCs w:val="28"/>
          <w:highlight w:val="none"/>
        </w:rPr>
        <w:t>乙方违反合同的有关规定，甲方有权收取</w:t>
      </w:r>
      <w:r>
        <w:rPr>
          <w:rFonts w:ascii="宋体" w:hAnsi="宋体"/>
          <w:sz w:val="24"/>
          <w:szCs w:val="28"/>
          <w:highlight w:val="none"/>
        </w:rPr>
        <w:t>100</w:t>
      </w:r>
      <w:r>
        <w:rPr>
          <w:rFonts w:hint="eastAsia" w:ascii="宋体" w:hAnsi="宋体"/>
          <w:sz w:val="24"/>
          <w:szCs w:val="28"/>
          <w:highlight w:val="none"/>
        </w:rPr>
        <w:t>元</w:t>
      </w:r>
      <w:r>
        <w:rPr>
          <w:rFonts w:ascii="宋体" w:hAnsi="宋体"/>
          <w:sz w:val="24"/>
          <w:szCs w:val="28"/>
          <w:highlight w:val="none"/>
        </w:rPr>
        <w:t>/</w:t>
      </w:r>
      <w:r>
        <w:rPr>
          <w:rFonts w:hint="eastAsia" w:ascii="宋体" w:hAnsi="宋体"/>
          <w:sz w:val="24"/>
          <w:szCs w:val="28"/>
          <w:highlight w:val="none"/>
        </w:rPr>
        <w:t>起及以上的违约金；未能按甲方要求期限整改的，甲方有权收取</w:t>
      </w:r>
      <w:r>
        <w:rPr>
          <w:rFonts w:ascii="宋体" w:hAnsi="宋体"/>
          <w:sz w:val="24"/>
          <w:szCs w:val="28"/>
          <w:highlight w:val="none"/>
        </w:rPr>
        <w:t>100</w:t>
      </w:r>
      <w:r>
        <w:rPr>
          <w:rFonts w:hint="eastAsia" w:ascii="宋体" w:hAnsi="宋体"/>
          <w:sz w:val="24"/>
          <w:szCs w:val="28"/>
          <w:highlight w:val="none"/>
        </w:rPr>
        <w:t>元-</w:t>
      </w:r>
      <w:r>
        <w:rPr>
          <w:rFonts w:ascii="宋体" w:hAnsi="宋体"/>
          <w:sz w:val="24"/>
          <w:szCs w:val="28"/>
          <w:highlight w:val="none"/>
        </w:rPr>
        <w:t>500</w:t>
      </w:r>
      <w:r>
        <w:rPr>
          <w:rFonts w:hint="eastAsia" w:ascii="宋体" w:hAnsi="宋体"/>
          <w:sz w:val="24"/>
          <w:szCs w:val="28"/>
          <w:highlight w:val="none"/>
        </w:rPr>
        <w:t>元</w:t>
      </w:r>
      <w:r>
        <w:rPr>
          <w:rFonts w:ascii="宋体" w:hAnsi="宋体"/>
          <w:sz w:val="24"/>
          <w:szCs w:val="28"/>
          <w:highlight w:val="none"/>
        </w:rPr>
        <w:t>/</w:t>
      </w:r>
      <w:r>
        <w:rPr>
          <w:rFonts w:hint="eastAsia" w:ascii="宋体" w:hAnsi="宋体"/>
          <w:sz w:val="24"/>
          <w:szCs w:val="28"/>
          <w:highlight w:val="none"/>
        </w:rPr>
        <w:t>起的违约金；如连续两次整改不到位，甲方有权单方面终止合同，由此给甲方造成的一切损失由乙方承担，乙方的损失由乙方自行承担。</w:t>
      </w:r>
    </w:p>
    <w:p>
      <w:pPr>
        <w:tabs>
          <w:tab w:val="left" w:pos="0"/>
          <w:tab w:val="left" w:pos="1701"/>
        </w:tabs>
        <w:spacing w:line="400" w:lineRule="exact"/>
        <w:ind w:firstLine="560"/>
        <w:contextualSpacing/>
        <w:rPr>
          <w:rFonts w:ascii="宋体" w:hAnsi="宋体"/>
          <w:sz w:val="24"/>
          <w:szCs w:val="28"/>
          <w:highlight w:val="none"/>
        </w:rPr>
      </w:pPr>
      <w:r>
        <w:rPr>
          <w:rFonts w:hint="eastAsia" w:ascii="宋体" w:hAnsi="宋体"/>
          <w:bCs/>
          <w:sz w:val="24"/>
          <w:szCs w:val="28"/>
          <w:highlight w:val="none"/>
        </w:rPr>
        <w:t>3、</w:t>
      </w:r>
      <w:r>
        <w:rPr>
          <w:rFonts w:hint="eastAsia" w:ascii="宋体" w:hAnsi="宋体"/>
          <w:sz w:val="24"/>
          <w:szCs w:val="28"/>
          <w:highlight w:val="none"/>
        </w:rPr>
        <w:t>在委托管理期间，如因乙方管理不善发生安全责任事故，乙方应承担相应的管理责任并且赔付甲方的财产损失。甲方有权收取乙方</w:t>
      </w:r>
      <w:r>
        <w:rPr>
          <w:rFonts w:ascii="宋体" w:hAnsi="宋体"/>
          <w:sz w:val="24"/>
          <w:szCs w:val="28"/>
          <w:highlight w:val="none"/>
        </w:rPr>
        <w:t>1000-</w:t>
      </w:r>
      <w:r>
        <w:rPr>
          <w:rFonts w:hint="eastAsia" w:ascii="宋体" w:hAnsi="宋体"/>
          <w:sz w:val="24"/>
          <w:szCs w:val="28"/>
          <w:highlight w:val="none"/>
        </w:rPr>
        <w:t>5</w:t>
      </w:r>
      <w:r>
        <w:rPr>
          <w:rFonts w:ascii="宋体" w:hAnsi="宋体"/>
          <w:sz w:val="24"/>
          <w:szCs w:val="28"/>
          <w:highlight w:val="none"/>
        </w:rPr>
        <w:t>000</w:t>
      </w:r>
      <w:r>
        <w:rPr>
          <w:rFonts w:hint="eastAsia" w:ascii="宋体" w:hAnsi="宋体"/>
          <w:sz w:val="24"/>
          <w:szCs w:val="28"/>
          <w:highlight w:val="none"/>
        </w:rPr>
        <w:t>元的违约金（罚款），或终止合同，由其造成的一切后果由乙方负责。</w:t>
      </w:r>
    </w:p>
    <w:p>
      <w:pPr>
        <w:pStyle w:val="2"/>
        <w:ind w:firstLine="0" w:firstLineChars="0"/>
        <w:rPr>
          <w:highlight w:val="none"/>
        </w:rPr>
      </w:pPr>
    </w:p>
    <w:p>
      <w:pPr>
        <w:spacing w:line="276" w:lineRule="auto"/>
        <w:outlineLvl w:val="1"/>
        <w:rPr>
          <w:rFonts w:ascii="宋体" w:hAnsi="宋体"/>
          <w:b/>
          <w:sz w:val="24"/>
          <w:highlight w:val="none"/>
        </w:rPr>
      </w:pPr>
      <w:r>
        <w:rPr>
          <w:rFonts w:hint="eastAsia" w:ascii="宋体" w:hAnsi="宋体"/>
          <w:b/>
          <w:sz w:val="24"/>
          <w:highlight w:val="none"/>
        </w:rPr>
        <w:t>二、</w:t>
      </w:r>
      <w:r>
        <w:rPr>
          <w:rFonts w:hint="eastAsia" w:ascii="宋体" w:hAnsi="宋体" w:cs="宋体"/>
          <w:b/>
          <w:sz w:val="24"/>
          <w:highlight w:val="none"/>
        </w:rPr>
        <w:t>投标报价的说明</w:t>
      </w:r>
    </w:p>
    <w:p>
      <w:pPr>
        <w:spacing w:line="360" w:lineRule="auto"/>
        <w:ind w:firstLine="480" w:firstLineChars="200"/>
        <w:rPr>
          <w:rFonts w:ascii="宋体" w:hAnsi="宋体" w:cs="宋体"/>
          <w:sz w:val="24"/>
        </w:rPr>
      </w:pPr>
      <w:r>
        <w:rPr>
          <w:rFonts w:hint="eastAsia" w:ascii="宋体" w:hAnsi="宋体" w:cs="宋体"/>
          <w:sz w:val="24"/>
          <w:highlight w:val="none"/>
        </w:rPr>
        <w:t>投标人应认真阅读本文件要求，按要求一次性报出天堂校区垃圾清理费、处理费、运输费用、人员工资以及其他费用的总价，其他一切费用由投标人自理，采购人不再另付其他任何费用。（报价含合同期限内因国家政策规定所需调整的最低工资标准、社保基数标准调整部分。合同履约期间乙方不得因油价、运输距离、清运数量等因素变化</w:t>
      </w:r>
      <w:r>
        <w:rPr>
          <w:rFonts w:hint="eastAsia" w:ascii="宋体" w:hAnsi="宋体" w:cs="宋体"/>
          <w:sz w:val="24"/>
        </w:rPr>
        <w:t>而改变中标价格。）</w:t>
      </w:r>
    </w:p>
    <w:p>
      <w:pPr>
        <w:pStyle w:val="2"/>
      </w:pPr>
    </w:p>
    <w:p>
      <w:pPr>
        <w:pStyle w:val="4"/>
        <w:adjustRightInd w:val="0"/>
        <w:snapToGrid w:val="0"/>
        <w:spacing w:line="415" w:lineRule="auto"/>
        <w:rPr>
          <w:rFonts w:ascii="宋体" w:hAnsi="宋体"/>
          <w:b w:val="0"/>
          <w:sz w:val="36"/>
          <w:szCs w:val="36"/>
        </w:rPr>
      </w:pPr>
      <w:r>
        <w:rPr>
          <w:rFonts w:ascii="宋体" w:hAnsi="宋体"/>
          <w:b w:val="0"/>
          <w:sz w:val="36"/>
          <w:szCs w:val="36"/>
        </w:rPr>
        <w:br w:type="page"/>
      </w:r>
      <w:r>
        <w:rPr>
          <w:rFonts w:hint="eastAsia" w:ascii="黑体" w:eastAsia="黑体" w:cs="Arial"/>
          <w:bCs/>
          <w:szCs w:val="44"/>
        </w:rPr>
        <w:t>第五章 评审方法和评审标准</w:t>
      </w:r>
    </w:p>
    <w:p>
      <w:pPr>
        <w:pStyle w:val="17"/>
        <w:adjustRightInd w:val="0"/>
        <w:snapToGrid w:val="0"/>
        <w:spacing w:line="276" w:lineRule="auto"/>
        <w:rPr>
          <w:rFonts w:hint="default" w:hAnsi="宋体"/>
          <w:sz w:val="24"/>
          <w:szCs w:val="24"/>
        </w:rPr>
      </w:pPr>
      <w:r>
        <w:rPr>
          <w:rFonts w:hAnsi="宋体" w:cs="Arial"/>
          <w:b/>
          <w:snapToGrid w:val="0"/>
          <w:sz w:val="24"/>
          <w:szCs w:val="24"/>
        </w:rPr>
        <w:t>1、评标方法与定标原则</w:t>
      </w:r>
    </w:p>
    <w:p>
      <w:pPr>
        <w:shd w:val="clear" w:color="auto" w:fill="FFFFFF"/>
        <w:snapToGrid w:val="0"/>
        <w:spacing w:line="276" w:lineRule="auto"/>
        <w:ind w:firstLine="480" w:firstLineChars="200"/>
        <w:jc w:val="left"/>
        <w:rPr>
          <w:rFonts w:ascii="宋体"/>
          <w:bCs/>
          <w:sz w:val="24"/>
        </w:rPr>
      </w:pPr>
      <w:r>
        <w:rPr>
          <w:rFonts w:hint="eastAsia" w:ascii="宋体" w:hAnsi="宋体"/>
          <w:bCs/>
          <w:sz w:val="24"/>
        </w:rPr>
        <w:t>评委会将对确定为实质性响应磋商文件要求的响应文件进行评价和比较，评标采用综合评分法。</w:t>
      </w:r>
    </w:p>
    <w:p>
      <w:pPr>
        <w:shd w:val="clear" w:color="auto" w:fill="FFFFFF"/>
        <w:snapToGrid w:val="0"/>
        <w:spacing w:line="276" w:lineRule="auto"/>
        <w:ind w:firstLine="480" w:firstLineChars="200"/>
        <w:jc w:val="left"/>
        <w:rPr>
          <w:rFonts w:ascii="宋体" w:hAnsi="宋体"/>
          <w:bCs/>
          <w:sz w:val="24"/>
        </w:rPr>
      </w:pPr>
      <w:r>
        <w:rPr>
          <w:rFonts w:hint="eastAsia" w:ascii="宋体" w:hAnsi="宋体"/>
          <w:bCs/>
          <w:sz w:val="24"/>
        </w:rPr>
        <w:t>采用综合评分法的，按评审后得分由高到低顺序排列。得分相同的，按投标报价由低到高顺序排列。得分且投标报价相同的，按技术指标优劣顺序排列。</w:t>
      </w:r>
    </w:p>
    <w:p>
      <w:pPr>
        <w:shd w:val="clear" w:color="auto" w:fill="FFFFFF"/>
        <w:snapToGrid w:val="0"/>
        <w:spacing w:line="276" w:lineRule="auto"/>
        <w:jc w:val="left"/>
        <w:rPr>
          <w:rFonts w:ascii="宋体" w:hAnsi="宋体"/>
          <w:b/>
          <w:bCs/>
          <w:sz w:val="24"/>
        </w:rPr>
      </w:pPr>
      <w:r>
        <w:rPr>
          <w:rFonts w:hint="eastAsia" w:ascii="宋体" w:hAnsi="宋体" w:cs="Arial"/>
          <w:b/>
          <w:snapToGrid w:val="0"/>
          <w:kern w:val="0"/>
          <w:sz w:val="24"/>
        </w:rPr>
        <w:t>2、综合评分标准</w:t>
      </w:r>
    </w:p>
    <w:p>
      <w:pPr>
        <w:spacing w:line="276" w:lineRule="auto"/>
        <w:ind w:firstLine="480" w:firstLineChars="200"/>
        <w:rPr>
          <w:rFonts w:ascii="宋体" w:hAnsi="宋体"/>
          <w:sz w:val="24"/>
        </w:rPr>
      </w:pPr>
      <w:r>
        <w:rPr>
          <w:rFonts w:hint="eastAsia" w:ascii="宋体" w:hAnsi="宋体"/>
          <w:sz w:val="24"/>
        </w:rPr>
        <w:t>本项目采用综合评分法，评分统计方法采用百分制（满分100分），将全部评委评分直接进行算术平均，小数点后保留2位。按评审后得分由高到低顺序排列，得分相同的，按投标报价由低到高顺序排列，得分且投标报价相同的，按技术指标优劣顺序排列，由评标委员会确定中标供应商。</w:t>
      </w:r>
    </w:p>
    <w:tbl>
      <w:tblPr>
        <w:tblStyle w:val="36"/>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101"/>
        <w:gridCol w:w="6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pPr>
            <w:r>
              <w:rPr>
                <w:rFonts w:hint="eastAsia"/>
              </w:rPr>
              <w:t>评标因素</w:t>
            </w:r>
          </w:p>
        </w:tc>
        <w:tc>
          <w:tcPr>
            <w:tcW w:w="110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pPr>
            <w:r>
              <w:rPr>
                <w:rFonts w:hint="eastAsia"/>
              </w:rPr>
              <w:t>分值（分）</w:t>
            </w:r>
          </w:p>
        </w:tc>
        <w:tc>
          <w:tcPr>
            <w:tcW w:w="689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pPr>
            <w:r>
              <w:rPr>
                <w:rFonts w:hint="eastAsia"/>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588"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jc w:val="center"/>
            </w:pPr>
            <w:r>
              <w:rPr>
                <w:rFonts w:hint="eastAsia"/>
              </w:rPr>
              <w:t>相关资质和设备配置</w:t>
            </w:r>
          </w:p>
        </w:tc>
        <w:tc>
          <w:tcPr>
            <w:tcW w:w="1101"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jc w:val="center"/>
            </w:pPr>
            <w:r>
              <w:t>17</w:t>
            </w:r>
          </w:p>
        </w:tc>
        <w:tc>
          <w:tcPr>
            <w:tcW w:w="6890" w:type="dxa"/>
            <w:tcBorders>
              <w:top w:val="single" w:color="auto" w:sz="4" w:space="0"/>
              <w:left w:val="single" w:color="auto" w:sz="4" w:space="0"/>
              <w:bottom w:val="single" w:color="auto" w:sz="4" w:space="0"/>
              <w:right w:val="single" w:color="auto" w:sz="4" w:space="0"/>
            </w:tcBorders>
            <w:vAlign w:val="center"/>
          </w:tcPr>
          <w:p>
            <w:r>
              <w:rPr>
                <w:rFonts w:hint="eastAsia"/>
              </w:rPr>
              <w:t>1、供应商具有1-5吨垃圾清运车，有一辆得1分，最高得6分。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588" w:type="dxa"/>
            <w:vMerge w:val="continue"/>
            <w:tcBorders>
              <w:left w:val="single" w:color="auto" w:sz="4" w:space="0"/>
              <w:right w:val="single" w:color="auto" w:sz="4" w:space="0"/>
            </w:tcBorders>
            <w:vAlign w:val="center"/>
          </w:tcPr>
          <w:p>
            <w:pPr>
              <w:widowControl/>
              <w:spacing w:before="100" w:beforeAutospacing="1" w:after="100" w:afterAutospacing="1"/>
              <w:jc w:val="center"/>
            </w:pPr>
          </w:p>
        </w:tc>
        <w:tc>
          <w:tcPr>
            <w:tcW w:w="1101" w:type="dxa"/>
            <w:vMerge w:val="continue"/>
            <w:tcBorders>
              <w:left w:val="single" w:color="auto" w:sz="4" w:space="0"/>
              <w:right w:val="single" w:color="auto" w:sz="4" w:space="0"/>
            </w:tcBorders>
            <w:vAlign w:val="center"/>
          </w:tcPr>
          <w:p>
            <w:pPr>
              <w:widowControl/>
              <w:spacing w:before="100" w:beforeAutospacing="1" w:after="100" w:afterAutospacing="1"/>
              <w:jc w:val="center"/>
            </w:pPr>
          </w:p>
        </w:tc>
        <w:tc>
          <w:tcPr>
            <w:tcW w:w="6890" w:type="dxa"/>
            <w:tcBorders>
              <w:top w:val="single" w:color="auto" w:sz="4" w:space="0"/>
              <w:left w:val="single" w:color="auto" w:sz="4" w:space="0"/>
              <w:bottom w:val="single" w:color="auto" w:sz="4" w:space="0"/>
              <w:right w:val="single" w:color="auto" w:sz="4" w:space="0"/>
            </w:tcBorders>
            <w:vAlign w:val="center"/>
          </w:tcPr>
          <w:p>
            <w:r>
              <w:rPr>
                <w:rFonts w:hint="eastAsia"/>
              </w:rPr>
              <w:t>2、供应商具有1-5吨餐厨垃圾清运专用车，有一辆得1分，最高得6分。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88" w:type="dxa"/>
            <w:vMerge w:val="continue"/>
            <w:tcBorders>
              <w:left w:val="single" w:color="auto" w:sz="4" w:space="0"/>
              <w:right w:val="single" w:color="auto" w:sz="4" w:space="0"/>
            </w:tcBorders>
            <w:vAlign w:val="center"/>
          </w:tcPr>
          <w:p>
            <w:pPr>
              <w:widowControl/>
              <w:spacing w:before="100" w:beforeAutospacing="1" w:after="100" w:afterAutospacing="1"/>
              <w:jc w:val="center"/>
            </w:pPr>
          </w:p>
        </w:tc>
        <w:tc>
          <w:tcPr>
            <w:tcW w:w="1101" w:type="dxa"/>
            <w:vMerge w:val="continue"/>
            <w:tcBorders>
              <w:left w:val="single" w:color="auto" w:sz="4" w:space="0"/>
              <w:right w:val="single" w:color="auto" w:sz="4" w:space="0"/>
            </w:tcBorders>
            <w:vAlign w:val="center"/>
          </w:tcPr>
          <w:p>
            <w:pPr>
              <w:widowControl/>
              <w:spacing w:before="100" w:beforeAutospacing="1" w:after="100" w:afterAutospacing="1"/>
              <w:jc w:val="center"/>
            </w:pPr>
          </w:p>
        </w:tc>
        <w:tc>
          <w:tcPr>
            <w:tcW w:w="6890" w:type="dxa"/>
            <w:tcBorders>
              <w:top w:val="single" w:color="auto" w:sz="4" w:space="0"/>
              <w:left w:val="single" w:color="auto" w:sz="4" w:space="0"/>
              <w:right w:val="single" w:color="auto" w:sz="4" w:space="0"/>
            </w:tcBorders>
            <w:vAlign w:val="center"/>
          </w:tcPr>
          <w:p>
            <w:r>
              <w:rPr>
                <w:rFonts w:hint="eastAsia"/>
              </w:rPr>
              <w:t>3、供应商具有6-10吨垃圾清运车，有一辆得2分，最高得5分。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tcBorders>
              <w:top w:val="single" w:color="auto" w:sz="4" w:space="0"/>
              <w:left w:val="single" w:color="auto" w:sz="4" w:space="0"/>
              <w:right w:val="single" w:color="auto" w:sz="4" w:space="0"/>
            </w:tcBorders>
            <w:vAlign w:val="center"/>
          </w:tcPr>
          <w:p>
            <w:pPr>
              <w:widowControl/>
              <w:spacing w:before="100" w:beforeAutospacing="1" w:after="100" w:afterAutospacing="1"/>
              <w:jc w:val="center"/>
            </w:pPr>
            <w:r>
              <w:rPr>
                <w:rFonts w:hint="eastAsia"/>
              </w:rPr>
              <w:t>报价</w:t>
            </w:r>
          </w:p>
        </w:tc>
        <w:tc>
          <w:tcPr>
            <w:tcW w:w="1101" w:type="dxa"/>
            <w:tcBorders>
              <w:top w:val="single" w:color="auto" w:sz="4" w:space="0"/>
              <w:left w:val="single" w:color="auto" w:sz="4" w:space="0"/>
              <w:right w:val="single" w:color="auto" w:sz="4" w:space="0"/>
            </w:tcBorders>
            <w:vAlign w:val="center"/>
          </w:tcPr>
          <w:p>
            <w:pPr>
              <w:widowControl/>
              <w:spacing w:before="100" w:beforeAutospacing="1" w:after="100" w:afterAutospacing="1"/>
              <w:jc w:val="center"/>
            </w:pPr>
            <w:r>
              <w:t>50</w:t>
            </w:r>
          </w:p>
        </w:tc>
        <w:tc>
          <w:tcPr>
            <w:tcW w:w="689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pPr>
            <w:r>
              <w:rPr>
                <w:rFonts w:hint="eastAsia"/>
              </w:rPr>
              <w:t>1、即满足招标文件要求且报价最低的供应商报价为评标基准价，其价格分为满分</w:t>
            </w:r>
            <w:r>
              <w:rPr>
                <w:rFonts w:hint="eastAsia"/>
                <w:lang w:val="en-US" w:eastAsia="zh-CN"/>
              </w:rPr>
              <w:t>50</w:t>
            </w:r>
            <w:r>
              <w:rPr>
                <w:rFonts w:hint="eastAsia"/>
              </w:rPr>
              <w:t>分，其它投标人的价格分统一按照以下公式计算：投标报价得分=(最低报价/该投标人的投标报价)×</w:t>
            </w:r>
            <w:r>
              <w:rPr>
                <w:rFonts w:hint="eastAsia"/>
                <w:lang w:val="en-US" w:eastAsia="zh-CN"/>
              </w:rPr>
              <w:t>50</w:t>
            </w:r>
            <w:r>
              <w:rPr>
                <w:rFonts w:hint="eastAsia"/>
              </w:rPr>
              <w:t>分。（投标金额含合同期限内因国家政策规定所需调整的最低工资标准、社保基数标准调整部分。合同履约期间乙方不得因油价、运输距离、清运数量等因素变化而改变中标价格）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88"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jc w:val="center"/>
            </w:pPr>
            <w:r>
              <w:rPr>
                <w:rFonts w:hint="eastAsia"/>
              </w:rPr>
              <w:t>经营业绩</w:t>
            </w:r>
          </w:p>
        </w:tc>
        <w:tc>
          <w:tcPr>
            <w:tcW w:w="1101"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jc w:val="center"/>
            </w:pPr>
            <w:r>
              <w:t>15</w:t>
            </w:r>
          </w:p>
        </w:tc>
        <w:tc>
          <w:tcPr>
            <w:tcW w:w="689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pPr>
            <w:r>
              <w:rPr>
                <w:rFonts w:hint="eastAsia"/>
              </w:rPr>
              <w:t>1、高校单位垃圾清运、食堂泔水、废油脂清运协议的，每提供一份得2分，最高1</w:t>
            </w:r>
            <w:r>
              <w:t>0</w:t>
            </w:r>
            <w:r>
              <w:rPr>
                <w:rFonts w:hint="eastAsia"/>
              </w:rPr>
              <w:t>分；（需附合同复印件及用户单位评价满意的证明材料原件）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588" w:type="dxa"/>
            <w:vMerge w:val="continue"/>
            <w:tcBorders>
              <w:left w:val="single" w:color="auto" w:sz="4" w:space="0"/>
              <w:bottom w:val="single" w:color="auto" w:sz="4" w:space="0"/>
              <w:right w:val="single" w:color="auto" w:sz="4" w:space="0"/>
            </w:tcBorders>
            <w:vAlign w:val="center"/>
          </w:tcPr>
          <w:p>
            <w:pPr>
              <w:widowControl/>
              <w:spacing w:before="100" w:beforeAutospacing="1" w:after="100" w:afterAutospacing="1"/>
              <w:jc w:val="center"/>
            </w:pPr>
          </w:p>
        </w:tc>
        <w:tc>
          <w:tcPr>
            <w:tcW w:w="1101" w:type="dxa"/>
            <w:vMerge w:val="continue"/>
            <w:tcBorders>
              <w:left w:val="single" w:color="auto" w:sz="4" w:space="0"/>
              <w:bottom w:val="single" w:color="auto" w:sz="4" w:space="0"/>
              <w:right w:val="single" w:color="auto" w:sz="4" w:space="0"/>
            </w:tcBorders>
            <w:vAlign w:val="center"/>
          </w:tcPr>
          <w:p>
            <w:pPr>
              <w:widowControl/>
              <w:spacing w:before="100" w:beforeAutospacing="1" w:after="100" w:afterAutospacing="1"/>
              <w:jc w:val="center"/>
            </w:pPr>
          </w:p>
        </w:tc>
        <w:tc>
          <w:tcPr>
            <w:tcW w:w="6890" w:type="dxa"/>
            <w:tcBorders>
              <w:top w:val="single" w:color="auto" w:sz="4" w:space="0"/>
              <w:left w:val="single" w:color="auto" w:sz="4" w:space="0"/>
              <w:bottom w:val="single" w:color="auto" w:sz="4" w:space="0"/>
              <w:right w:val="single" w:color="auto" w:sz="4" w:space="0"/>
            </w:tcBorders>
            <w:vAlign w:val="center"/>
          </w:tcPr>
          <w:p>
            <w:r>
              <w:rPr>
                <w:rFonts w:hint="eastAsia"/>
              </w:rPr>
              <w:t>2、其它单位垃圾清运、食堂泔水、废油脂清运协议的，每提供一份得1分，最高得</w:t>
            </w:r>
            <w:r>
              <w:t>5</w:t>
            </w:r>
            <w:r>
              <w:rPr>
                <w:rFonts w:hint="eastAsia"/>
              </w:rPr>
              <w:t>分。（需附合同复印件及用户单位评价满意的证明材料原件）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588"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jc w:val="center"/>
            </w:pPr>
            <w:r>
              <w:rPr>
                <w:rFonts w:hint="eastAsia"/>
              </w:rPr>
              <w:t>服务承诺及管理制度</w:t>
            </w:r>
          </w:p>
        </w:tc>
        <w:tc>
          <w:tcPr>
            <w:tcW w:w="1101"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jc w:val="center"/>
            </w:pPr>
            <w:r>
              <w:rPr>
                <w:rFonts w:hint="eastAsia"/>
              </w:rPr>
              <w:t>18</w:t>
            </w:r>
          </w:p>
        </w:tc>
        <w:tc>
          <w:tcPr>
            <w:tcW w:w="6890"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1、承诺服从甲方管理，遵守甲方考核办法，最高得2分。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588" w:type="dxa"/>
            <w:vMerge w:val="continue"/>
            <w:tcBorders>
              <w:left w:val="single" w:color="auto" w:sz="4" w:space="0"/>
              <w:right w:val="single" w:color="auto" w:sz="4" w:space="0"/>
            </w:tcBorders>
            <w:vAlign w:val="center"/>
          </w:tcPr>
          <w:p>
            <w:pPr>
              <w:widowControl/>
              <w:spacing w:before="100" w:beforeAutospacing="1" w:after="100" w:afterAutospacing="1"/>
              <w:jc w:val="center"/>
            </w:pPr>
          </w:p>
        </w:tc>
        <w:tc>
          <w:tcPr>
            <w:tcW w:w="1101" w:type="dxa"/>
            <w:vMerge w:val="continue"/>
            <w:tcBorders>
              <w:left w:val="single" w:color="auto" w:sz="4" w:space="0"/>
              <w:right w:val="single" w:color="auto" w:sz="4" w:space="0"/>
            </w:tcBorders>
            <w:vAlign w:val="center"/>
          </w:tcPr>
          <w:p>
            <w:pPr>
              <w:widowControl/>
              <w:spacing w:before="100" w:beforeAutospacing="1" w:after="100" w:afterAutospacing="1"/>
              <w:jc w:val="center"/>
            </w:pPr>
          </w:p>
        </w:tc>
        <w:tc>
          <w:tcPr>
            <w:tcW w:w="6890" w:type="dxa"/>
            <w:tcBorders>
              <w:top w:val="single" w:color="auto" w:sz="4" w:space="0"/>
              <w:left w:val="single" w:color="auto" w:sz="4" w:space="0"/>
              <w:bottom w:val="single" w:color="auto" w:sz="4" w:space="0"/>
              <w:right w:val="single" w:color="auto" w:sz="4" w:space="0"/>
            </w:tcBorders>
            <w:vAlign w:val="center"/>
          </w:tcPr>
          <w:p>
            <w:r>
              <w:rPr>
                <w:rFonts w:hint="eastAsia"/>
              </w:rPr>
              <w:t>2、</w:t>
            </w:r>
            <w:r>
              <w:t>管理服务模式及质量标准承诺</w:t>
            </w:r>
            <w:r>
              <w:rPr>
                <w:rFonts w:hint="eastAsia"/>
              </w:rPr>
              <w:t>最高</w:t>
            </w:r>
            <w: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588" w:type="dxa"/>
            <w:vMerge w:val="continue"/>
            <w:tcBorders>
              <w:left w:val="single" w:color="auto" w:sz="4" w:space="0"/>
              <w:right w:val="single" w:color="auto" w:sz="4" w:space="0"/>
            </w:tcBorders>
            <w:vAlign w:val="center"/>
          </w:tcPr>
          <w:p>
            <w:pPr>
              <w:widowControl/>
              <w:spacing w:before="100" w:beforeAutospacing="1" w:after="100" w:afterAutospacing="1"/>
              <w:jc w:val="center"/>
            </w:pPr>
          </w:p>
        </w:tc>
        <w:tc>
          <w:tcPr>
            <w:tcW w:w="1101" w:type="dxa"/>
            <w:vMerge w:val="continue"/>
            <w:tcBorders>
              <w:left w:val="single" w:color="auto" w:sz="4" w:space="0"/>
              <w:right w:val="single" w:color="auto" w:sz="4" w:space="0"/>
            </w:tcBorders>
            <w:vAlign w:val="center"/>
          </w:tcPr>
          <w:p>
            <w:pPr>
              <w:widowControl/>
              <w:spacing w:before="100" w:beforeAutospacing="1" w:after="100" w:afterAutospacing="1"/>
              <w:jc w:val="center"/>
            </w:pPr>
          </w:p>
        </w:tc>
        <w:tc>
          <w:tcPr>
            <w:tcW w:w="6890" w:type="dxa"/>
            <w:tcBorders>
              <w:top w:val="single" w:color="auto" w:sz="4" w:space="0"/>
              <w:left w:val="single" w:color="auto" w:sz="4" w:space="0"/>
              <w:bottom w:val="single" w:color="auto" w:sz="4" w:space="0"/>
              <w:right w:val="single" w:color="auto" w:sz="4" w:space="0"/>
            </w:tcBorders>
            <w:vAlign w:val="center"/>
          </w:tcPr>
          <w:p>
            <w:r>
              <w:rPr>
                <w:rFonts w:hint="eastAsia"/>
              </w:rPr>
              <w:t>3、</w:t>
            </w:r>
            <w:r>
              <w:t>依法支付职工工资及交纳社会保险金的承诺</w:t>
            </w:r>
            <w:r>
              <w:rPr>
                <w:rFonts w:hint="eastAsia"/>
              </w:rPr>
              <w:t>最高得</w:t>
            </w:r>
            <w: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588" w:type="dxa"/>
            <w:vMerge w:val="continue"/>
            <w:tcBorders>
              <w:left w:val="single" w:color="auto" w:sz="4" w:space="0"/>
              <w:right w:val="single" w:color="auto" w:sz="4" w:space="0"/>
            </w:tcBorders>
            <w:vAlign w:val="center"/>
          </w:tcPr>
          <w:p>
            <w:pPr>
              <w:widowControl/>
              <w:spacing w:before="100" w:beforeAutospacing="1" w:after="100" w:afterAutospacing="1"/>
              <w:jc w:val="center"/>
            </w:pPr>
          </w:p>
        </w:tc>
        <w:tc>
          <w:tcPr>
            <w:tcW w:w="1101" w:type="dxa"/>
            <w:vMerge w:val="continue"/>
            <w:tcBorders>
              <w:left w:val="single" w:color="auto" w:sz="4" w:space="0"/>
              <w:right w:val="single" w:color="auto" w:sz="4" w:space="0"/>
            </w:tcBorders>
            <w:vAlign w:val="center"/>
          </w:tcPr>
          <w:p>
            <w:pPr>
              <w:widowControl/>
              <w:spacing w:before="100" w:beforeAutospacing="1" w:after="100" w:afterAutospacing="1"/>
              <w:jc w:val="center"/>
            </w:pPr>
          </w:p>
        </w:tc>
        <w:tc>
          <w:tcPr>
            <w:tcW w:w="6890" w:type="dxa"/>
            <w:tcBorders>
              <w:top w:val="single" w:color="auto" w:sz="4" w:space="0"/>
              <w:left w:val="single" w:color="auto" w:sz="4" w:space="0"/>
              <w:bottom w:val="single" w:color="auto" w:sz="4" w:space="0"/>
              <w:right w:val="single" w:color="auto" w:sz="4" w:space="0"/>
            </w:tcBorders>
            <w:vAlign w:val="center"/>
          </w:tcPr>
          <w:p>
            <w:r>
              <w:rPr>
                <w:rFonts w:hint="eastAsia"/>
              </w:rPr>
              <w:t>4、承诺做到服务要求中的：及时、合规、高效、保质和灵活等方面的内容，最高得3分。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588" w:type="dxa"/>
            <w:vMerge w:val="continue"/>
            <w:tcBorders>
              <w:left w:val="single" w:color="auto" w:sz="4" w:space="0"/>
              <w:right w:val="single" w:color="auto" w:sz="4" w:space="0"/>
            </w:tcBorders>
            <w:vAlign w:val="center"/>
          </w:tcPr>
          <w:p>
            <w:pPr>
              <w:widowControl/>
              <w:spacing w:before="100" w:beforeAutospacing="1" w:after="100" w:afterAutospacing="1"/>
              <w:jc w:val="center"/>
            </w:pPr>
          </w:p>
        </w:tc>
        <w:tc>
          <w:tcPr>
            <w:tcW w:w="1101" w:type="dxa"/>
            <w:vMerge w:val="continue"/>
            <w:tcBorders>
              <w:left w:val="single" w:color="auto" w:sz="4" w:space="0"/>
              <w:right w:val="single" w:color="auto" w:sz="4" w:space="0"/>
            </w:tcBorders>
            <w:vAlign w:val="center"/>
          </w:tcPr>
          <w:p>
            <w:pPr>
              <w:widowControl/>
              <w:spacing w:before="100" w:beforeAutospacing="1" w:after="100" w:afterAutospacing="1"/>
              <w:jc w:val="center"/>
            </w:pPr>
          </w:p>
        </w:tc>
        <w:tc>
          <w:tcPr>
            <w:tcW w:w="6890" w:type="dxa"/>
            <w:tcBorders>
              <w:top w:val="single" w:color="auto" w:sz="4" w:space="0"/>
              <w:left w:val="single" w:color="auto" w:sz="4" w:space="0"/>
              <w:bottom w:val="single" w:color="auto" w:sz="4" w:space="0"/>
              <w:right w:val="single" w:color="auto" w:sz="4" w:space="0"/>
            </w:tcBorders>
            <w:vAlign w:val="center"/>
          </w:tcPr>
          <w:p>
            <w:r>
              <w:rPr>
                <w:rFonts w:hint="eastAsia"/>
              </w:rPr>
              <w:t>5、承诺随车配备垃圾清运服务人员数量1名得1分；两名得2分，最高得2分。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588" w:type="dxa"/>
            <w:vMerge w:val="continue"/>
            <w:tcBorders>
              <w:left w:val="single" w:color="auto" w:sz="4" w:space="0"/>
              <w:right w:val="single" w:color="auto" w:sz="4" w:space="0"/>
            </w:tcBorders>
            <w:vAlign w:val="center"/>
          </w:tcPr>
          <w:p>
            <w:pPr>
              <w:widowControl/>
              <w:spacing w:before="100" w:beforeAutospacing="1" w:after="100" w:afterAutospacing="1"/>
              <w:jc w:val="center"/>
            </w:pPr>
          </w:p>
        </w:tc>
        <w:tc>
          <w:tcPr>
            <w:tcW w:w="1101" w:type="dxa"/>
            <w:vMerge w:val="continue"/>
            <w:tcBorders>
              <w:left w:val="single" w:color="auto" w:sz="4" w:space="0"/>
              <w:right w:val="single" w:color="auto" w:sz="4" w:space="0"/>
            </w:tcBorders>
            <w:vAlign w:val="center"/>
          </w:tcPr>
          <w:p>
            <w:pPr>
              <w:widowControl/>
              <w:spacing w:before="100" w:beforeAutospacing="1" w:after="100" w:afterAutospacing="1"/>
              <w:jc w:val="center"/>
            </w:pPr>
          </w:p>
        </w:tc>
        <w:tc>
          <w:tcPr>
            <w:tcW w:w="6890" w:type="dxa"/>
            <w:tcBorders>
              <w:top w:val="single" w:color="auto" w:sz="4" w:space="0"/>
              <w:left w:val="single" w:color="auto" w:sz="4" w:space="0"/>
              <w:bottom w:val="single" w:color="auto" w:sz="4" w:space="0"/>
              <w:right w:val="single" w:color="auto" w:sz="4" w:space="0"/>
            </w:tcBorders>
            <w:vAlign w:val="center"/>
          </w:tcPr>
          <w:p>
            <w:r>
              <w:rPr>
                <w:rFonts w:hint="eastAsia"/>
                <w:lang w:val="en-US" w:eastAsia="zh-CN"/>
              </w:rPr>
              <w:t>6</w:t>
            </w:r>
            <w:r>
              <w:rPr>
                <w:rFonts w:hint="eastAsia"/>
              </w:rPr>
              <w:t>、具备垃圾清运去向的合法证明文件，最高2分。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588" w:type="dxa"/>
            <w:vMerge w:val="continue"/>
            <w:tcBorders>
              <w:left w:val="single" w:color="auto" w:sz="4" w:space="0"/>
              <w:right w:val="single" w:color="auto" w:sz="4" w:space="0"/>
            </w:tcBorders>
            <w:vAlign w:val="center"/>
          </w:tcPr>
          <w:p>
            <w:pPr>
              <w:widowControl/>
              <w:spacing w:before="100" w:beforeAutospacing="1" w:after="100" w:afterAutospacing="1"/>
              <w:jc w:val="center"/>
            </w:pPr>
          </w:p>
        </w:tc>
        <w:tc>
          <w:tcPr>
            <w:tcW w:w="1101" w:type="dxa"/>
            <w:vMerge w:val="continue"/>
            <w:tcBorders>
              <w:left w:val="single" w:color="auto" w:sz="4" w:space="0"/>
              <w:right w:val="single" w:color="auto" w:sz="4" w:space="0"/>
            </w:tcBorders>
            <w:vAlign w:val="center"/>
          </w:tcPr>
          <w:p>
            <w:pPr>
              <w:widowControl/>
              <w:spacing w:before="100" w:beforeAutospacing="1" w:after="100" w:afterAutospacing="1"/>
              <w:jc w:val="center"/>
            </w:pPr>
          </w:p>
        </w:tc>
        <w:tc>
          <w:tcPr>
            <w:tcW w:w="6890" w:type="dxa"/>
            <w:tcBorders>
              <w:top w:val="single" w:color="auto" w:sz="4" w:space="0"/>
              <w:left w:val="single" w:color="auto" w:sz="4" w:space="0"/>
              <w:bottom w:val="single" w:color="auto" w:sz="4" w:space="0"/>
              <w:right w:val="single" w:color="auto" w:sz="4" w:space="0"/>
            </w:tcBorders>
            <w:vAlign w:val="center"/>
          </w:tcPr>
          <w:p>
            <w:r>
              <w:rPr>
                <w:rFonts w:hint="eastAsia"/>
                <w:lang w:val="en-US" w:eastAsia="zh-CN"/>
              </w:rPr>
              <w:t>7</w:t>
            </w:r>
            <w:r>
              <w:rPr>
                <w:rFonts w:hint="eastAsia"/>
              </w:rPr>
              <w:t>、为本项目提供的服务方案质量，最高</w:t>
            </w:r>
            <w:r>
              <w:rPr>
                <w:rFonts w:hint="eastAsia"/>
                <w:lang w:val="en-US" w:eastAsia="zh-CN"/>
              </w:rPr>
              <w:t>6</w:t>
            </w:r>
            <w:r>
              <w:rPr>
                <w:rFonts w:hint="eastAsia"/>
              </w:rPr>
              <w:t>分。</w:t>
            </w:r>
          </w:p>
        </w:tc>
      </w:tr>
    </w:tbl>
    <w:p/>
    <w:p>
      <w:pPr>
        <w:pStyle w:val="4"/>
        <w:rPr>
          <w:rFonts w:ascii="黑体" w:eastAsia="黑体" w:cs="Arial"/>
          <w:bCs/>
          <w:szCs w:val="44"/>
        </w:rPr>
      </w:pPr>
      <w:r>
        <w:rPr>
          <w:rFonts w:hint="eastAsia" w:ascii="黑体" w:eastAsia="黑体" w:cs="Arial"/>
          <w:bCs/>
          <w:szCs w:val="44"/>
        </w:rPr>
        <w:t>第六章  响应文件的组成和格式</w:t>
      </w:r>
    </w:p>
    <w:p>
      <w:pPr>
        <w:jc w:val="center"/>
        <w:rPr>
          <w:rFonts w:ascii="宋体" w:hAnsi="宋体"/>
          <w:b/>
          <w:sz w:val="72"/>
          <w:szCs w:val="21"/>
        </w:rPr>
      </w:pPr>
      <w:r>
        <w:rPr>
          <w:rFonts w:hint="eastAsia" w:ascii="宋体" w:hAnsi="宋体"/>
          <w:b/>
          <w:sz w:val="72"/>
          <w:szCs w:val="21"/>
        </w:rPr>
        <w:t xml:space="preserve"> </w:t>
      </w:r>
    </w:p>
    <w:p>
      <w:pPr>
        <w:jc w:val="center"/>
        <w:rPr>
          <w:rFonts w:ascii="黑体" w:hAnsi="黑体" w:eastAsia="黑体"/>
          <w:b/>
          <w:sz w:val="72"/>
          <w:szCs w:val="21"/>
        </w:rPr>
      </w:pPr>
      <w:r>
        <w:rPr>
          <w:rFonts w:hint="eastAsia" w:ascii="黑体" w:hAnsi="黑体" w:eastAsia="黑体"/>
          <w:b/>
          <w:sz w:val="72"/>
          <w:szCs w:val="21"/>
        </w:rPr>
        <w:t>磋商响应文件</w:t>
      </w:r>
    </w:p>
    <w:p>
      <w:pPr>
        <w:pStyle w:val="58"/>
        <w:ind w:firstLine="0"/>
        <w:jc w:val="center"/>
        <w:rPr>
          <w:rFonts w:ascii="黑体" w:hAnsi="黑体" w:eastAsia="黑体"/>
          <w:b/>
          <w:bCs/>
          <w:sz w:val="32"/>
        </w:rPr>
      </w:pPr>
    </w:p>
    <w:p>
      <w:pPr>
        <w:ind w:firstLine="1084" w:firstLineChars="300"/>
        <w:rPr>
          <w:rFonts w:ascii="黑体" w:hAnsi="黑体" w:eastAsia="黑体"/>
          <w:b/>
          <w:sz w:val="36"/>
          <w:szCs w:val="21"/>
        </w:rPr>
      </w:pPr>
      <w:r>
        <w:rPr>
          <w:rFonts w:hint="eastAsia" w:ascii="黑体" w:hAnsi="黑体" w:eastAsia="黑体"/>
          <w:b/>
          <w:sz w:val="36"/>
          <w:szCs w:val="21"/>
        </w:rPr>
        <w:t xml:space="preserve">              （正或副本）</w:t>
      </w:r>
    </w:p>
    <w:p>
      <w:pPr>
        <w:ind w:firstLine="1084" w:firstLineChars="300"/>
        <w:rPr>
          <w:rFonts w:ascii="黑体" w:hAnsi="黑体" w:eastAsia="黑体"/>
          <w:b/>
          <w:sz w:val="36"/>
          <w:szCs w:val="21"/>
        </w:rPr>
      </w:pPr>
    </w:p>
    <w:p>
      <w:pPr>
        <w:ind w:firstLine="1084" w:firstLineChars="300"/>
        <w:rPr>
          <w:rFonts w:ascii="黑体" w:hAnsi="黑体" w:eastAsia="黑体"/>
          <w:b/>
          <w:sz w:val="36"/>
          <w:szCs w:val="21"/>
        </w:rPr>
      </w:pPr>
    </w:p>
    <w:p>
      <w:pPr>
        <w:ind w:firstLine="1084" w:firstLineChars="300"/>
        <w:rPr>
          <w:rFonts w:ascii="黑体" w:hAnsi="黑体" w:eastAsia="黑体"/>
          <w:b/>
          <w:sz w:val="36"/>
        </w:rPr>
      </w:pPr>
      <w:r>
        <w:rPr>
          <w:rFonts w:hint="eastAsia" w:ascii="黑体" w:hAnsi="黑体" w:eastAsia="黑体"/>
          <w:b/>
          <w:sz w:val="36"/>
        </w:rPr>
        <w:t>项 目 名 称：</w:t>
      </w:r>
    </w:p>
    <w:p>
      <w:pPr>
        <w:ind w:firstLine="1084" w:firstLineChars="300"/>
        <w:rPr>
          <w:rFonts w:ascii="黑体" w:hAnsi="黑体" w:eastAsia="黑体"/>
          <w:b/>
          <w:sz w:val="36"/>
          <w:u w:val="single"/>
        </w:rPr>
      </w:pPr>
      <w:r>
        <w:rPr>
          <w:rFonts w:hint="eastAsia" w:ascii="黑体" w:hAnsi="黑体" w:eastAsia="黑体"/>
          <w:b/>
          <w:sz w:val="36"/>
        </w:rPr>
        <w:t>项 目 编 号：</w:t>
      </w:r>
    </w:p>
    <w:p>
      <w:pPr>
        <w:ind w:firstLine="1084" w:firstLineChars="300"/>
        <w:rPr>
          <w:rFonts w:ascii="黑体" w:hAnsi="黑体" w:eastAsia="黑体"/>
          <w:b/>
          <w:sz w:val="36"/>
        </w:rPr>
      </w:pPr>
      <w:r>
        <w:rPr>
          <w:rFonts w:hint="eastAsia" w:ascii="黑体" w:hAnsi="黑体" w:eastAsia="黑体"/>
          <w:b/>
          <w:sz w:val="36"/>
        </w:rPr>
        <w:t xml:space="preserve">磋商供应商名称：               </w:t>
      </w:r>
    </w:p>
    <w:p>
      <w:pPr>
        <w:rPr>
          <w:rFonts w:ascii="黑体" w:hAnsi="黑体" w:eastAsia="黑体"/>
          <w:b/>
          <w:sz w:val="36"/>
        </w:rPr>
      </w:pPr>
      <w:r>
        <w:rPr>
          <w:rFonts w:hint="eastAsia" w:ascii="黑体" w:hAnsi="黑体" w:eastAsia="黑体"/>
          <w:b/>
          <w:sz w:val="36"/>
        </w:rPr>
        <w:t xml:space="preserve">      日       期：</w:t>
      </w:r>
    </w:p>
    <w:p>
      <w:pPr>
        <w:pStyle w:val="58"/>
        <w:ind w:firstLine="2464" w:firstLineChars="770"/>
        <w:rPr>
          <w:rFonts w:ascii="宋体" w:hAnsi="宋体"/>
          <w:bCs/>
          <w:kern w:val="2"/>
          <w:sz w:val="32"/>
          <w:szCs w:val="32"/>
        </w:rPr>
      </w:pPr>
    </w:p>
    <w:p>
      <w:pPr>
        <w:pStyle w:val="58"/>
        <w:spacing w:before="0" w:after="0"/>
        <w:ind w:firstLine="0"/>
        <w:rPr>
          <w:rFonts w:ascii="宋体" w:hAnsi="宋体"/>
        </w:rPr>
      </w:pPr>
    </w:p>
    <w:p>
      <w:pPr>
        <w:pStyle w:val="58"/>
        <w:spacing w:before="0" w:after="0"/>
        <w:ind w:firstLine="0"/>
        <w:rPr>
          <w:rFonts w:ascii="宋体" w:hAnsi="宋体"/>
        </w:rPr>
      </w:pPr>
    </w:p>
    <w:p>
      <w:pPr>
        <w:pStyle w:val="58"/>
        <w:spacing w:before="0" w:after="0"/>
        <w:ind w:firstLine="0"/>
        <w:rPr>
          <w:rFonts w:ascii="宋体" w:hAnsi="宋体"/>
        </w:rPr>
      </w:pPr>
    </w:p>
    <w:p>
      <w:pPr>
        <w:pStyle w:val="58"/>
        <w:spacing w:before="0" w:after="0"/>
        <w:ind w:firstLine="0"/>
        <w:rPr>
          <w:rFonts w:ascii="宋体" w:hAnsi="宋体"/>
        </w:rPr>
      </w:pPr>
    </w:p>
    <w:p>
      <w:pPr>
        <w:pStyle w:val="58"/>
        <w:spacing w:before="0" w:after="0"/>
        <w:ind w:firstLine="0"/>
        <w:rPr>
          <w:rFonts w:ascii="宋体" w:hAnsi="宋体"/>
        </w:rPr>
      </w:pPr>
    </w:p>
    <w:p>
      <w:pPr>
        <w:jc w:val="center"/>
        <w:rPr>
          <w:rFonts w:ascii="宋体" w:hAnsi="宋体"/>
          <w:b/>
          <w:sz w:val="24"/>
        </w:rPr>
      </w:pPr>
      <w:r>
        <w:rPr>
          <w:rFonts w:ascii="宋体" w:hAnsi="宋体"/>
          <w:b/>
          <w:color w:val="000000"/>
          <w:sz w:val="32"/>
          <w:szCs w:val="32"/>
        </w:rPr>
        <w:br w:type="page"/>
      </w:r>
      <w:r>
        <w:rPr>
          <w:rFonts w:hint="eastAsia" w:ascii="宋体" w:hAnsi="宋体"/>
          <w:b/>
          <w:sz w:val="24"/>
        </w:rPr>
        <w:t>评分索引表</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pPr>
              <w:pStyle w:val="45"/>
              <w:shd w:val="clear" w:color="auto" w:fill="FFFFFF"/>
              <w:spacing w:line="265" w:lineRule="atLeast"/>
              <w:ind w:left="420"/>
              <w:jc w:val="center"/>
              <w:rPr>
                <w:rFonts w:ascii="宋体" w:hAnsi="宋体" w:eastAsia="Times New Roman"/>
                <w:b/>
                <w:bCs/>
                <w:lang w:eastAsia="zh-CN"/>
              </w:rPr>
            </w:pPr>
            <w:r>
              <w:rPr>
                <w:rFonts w:hint="eastAsia" w:ascii="宋体" w:hAnsi="宋体" w:eastAsia="Times New Roman"/>
                <w:b/>
              </w:rPr>
              <w:t>评分项目</w:t>
            </w:r>
          </w:p>
        </w:tc>
        <w:tc>
          <w:tcPr>
            <w:tcW w:w="3570" w:type="dxa"/>
          </w:tcPr>
          <w:p>
            <w:pPr>
              <w:jc w:val="center"/>
              <w:rPr>
                <w:rFonts w:ascii="宋体" w:hAnsi="宋体"/>
                <w:b/>
                <w:sz w:val="24"/>
              </w:rPr>
            </w:pPr>
            <w:r>
              <w:rPr>
                <w:rFonts w:hint="eastAsia" w:ascii="宋体" w:hAnsi="宋体"/>
                <w:b/>
                <w:kern w:val="0"/>
                <w:sz w:val="24"/>
                <w:lang w:bidi="en-US"/>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Pr>
          <w:p>
            <w:pPr>
              <w:pStyle w:val="45"/>
              <w:shd w:val="clear" w:color="auto" w:fill="FFFFFF"/>
              <w:spacing w:line="265" w:lineRule="atLeast"/>
              <w:ind w:left="420"/>
              <w:jc w:val="both"/>
              <w:rPr>
                <w:rFonts w:ascii="宋体" w:hAnsi="宋体" w:eastAsia="Times New Roman"/>
                <w:b/>
                <w:lang w:eastAsia="zh-CN"/>
              </w:rPr>
            </w:pPr>
          </w:p>
        </w:tc>
        <w:tc>
          <w:tcPr>
            <w:tcW w:w="3570" w:type="dxa"/>
          </w:tcPr>
          <w:p>
            <w:pPr>
              <w:rPr>
                <w:rFonts w:ascii="宋体" w:hAnsi="宋体"/>
                <w:b/>
                <w:kern w:val="0"/>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tcPr>
          <w:p>
            <w:pPr>
              <w:pStyle w:val="45"/>
              <w:shd w:val="clear" w:color="auto" w:fill="FFFFFF"/>
              <w:spacing w:line="265" w:lineRule="atLeast"/>
              <w:ind w:left="420"/>
              <w:jc w:val="both"/>
              <w:rPr>
                <w:rFonts w:ascii="宋体" w:hAnsi="宋体" w:eastAsia="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pPr>
              <w:pStyle w:val="45"/>
              <w:shd w:val="clear" w:color="auto" w:fill="FFFFFF"/>
              <w:spacing w:line="265" w:lineRule="atLeast"/>
              <w:ind w:left="420"/>
              <w:rPr>
                <w:rFonts w:ascii="宋体" w:hAnsi="宋体" w:eastAsia="Times New Roman"/>
                <w:lang w:eastAsia="zh-CN"/>
              </w:rPr>
            </w:pPr>
          </w:p>
        </w:tc>
        <w:tc>
          <w:tcPr>
            <w:tcW w:w="3570"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pPr>
              <w:pStyle w:val="45"/>
              <w:shd w:val="clear" w:color="auto" w:fill="FFFFFF"/>
              <w:spacing w:line="265" w:lineRule="atLeast"/>
              <w:ind w:left="420"/>
              <w:rPr>
                <w:rFonts w:ascii="宋体" w:hAnsi="宋体" w:eastAsia="Times New Roman"/>
                <w:lang w:eastAsia="zh-CN"/>
              </w:rPr>
            </w:pPr>
          </w:p>
        </w:tc>
        <w:tc>
          <w:tcPr>
            <w:tcW w:w="3570"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pPr>
              <w:pStyle w:val="45"/>
              <w:shd w:val="clear" w:color="auto" w:fill="FFFFFF"/>
              <w:spacing w:line="265" w:lineRule="atLeast"/>
              <w:ind w:left="420"/>
              <w:rPr>
                <w:rFonts w:ascii="宋体" w:hAnsi="宋体" w:eastAsia="Times New Roman"/>
                <w:lang w:eastAsia="zh-CN"/>
              </w:rPr>
            </w:pPr>
          </w:p>
        </w:tc>
        <w:tc>
          <w:tcPr>
            <w:tcW w:w="3570"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pPr>
              <w:pStyle w:val="45"/>
              <w:shd w:val="clear" w:color="auto" w:fill="FFFFFF"/>
              <w:spacing w:line="265" w:lineRule="atLeast"/>
              <w:ind w:left="420"/>
              <w:rPr>
                <w:rFonts w:ascii="宋体" w:hAnsi="宋体" w:eastAsia="Times New Roman"/>
                <w:lang w:eastAsia="zh-CN"/>
              </w:rPr>
            </w:pPr>
          </w:p>
        </w:tc>
        <w:tc>
          <w:tcPr>
            <w:tcW w:w="3570"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pPr>
              <w:pStyle w:val="45"/>
              <w:shd w:val="clear" w:color="auto" w:fill="FFFFFF"/>
              <w:spacing w:line="265" w:lineRule="atLeast"/>
              <w:ind w:left="420"/>
              <w:rPr>
                <w:rFonts w:ascii="宋体" w:hAnsi="宋体" w:eastAsia="Times New Roman"/>
                <w:lang w:eastAsia="zh-CN"/>
              </w:rPr>
            </w:pPr>
          </w:p>
        </w:tc>
        <w:tc>
          <w:tcPr>
            <w:tcW w:w="3570"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tcPr>
          <w:p>
            <w:pPr>
              <w:pStyle w:val="45"/>
              <w:shd w:val="clear" w:color="auto" w:fill="FFFFFF"/>
              <w:spacing w:line="265" w:lineRule="atLeast"/>
              <w:ind w:left="420"/>
              <w:jc w:val="both"/>
              <w:rPr>
                <w:rFonts w:ascii="宋体" w:hAnsi="宋体" w:eastAsia="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Pr>
          <w:p>
            <w:pPr>
              <w:pStyle w:val="45"/>
              <w:shd w:val="clear" w:color="auto" w:fill="FFFFFF"/>
              <w:spacing w:line="265" w:lineRule="atLeast"/>
              <w:ind w:left="420"/>
              <w:rPr>
                <w:rFonts w:ascii="宋体" w:hAnsi="宋体" w:eastAsia="Times New Roman"/>
                <w:lang w:eastAsia="zh-CN"/>
              </w:rPr>
            </w:pPr>
          </w:p>
        </w:tc>
        <w:tc>
          <w:tcPr>
            <w:tcW w:w="3570"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Pr>
          <w:p>
            <w:pPr>
              <w:pStyle w:val="45"/>
              <w:shd w:val="clear" w:color="auto" w:fill="FFFFFF"/>
              <w:spacing w:line="265" w:lineRule="atLeast"/>
              <w:ind w:left="420"/>
              <w:rPr>
                <w:rFonts w:ascii="宋体" w:hAnsi="宋体" w:eastAsia="Times New Roman"/>
                <w:lang w:eastAsia="zh-CN"/>
              </w:rPr>
            </w:pPr>
          </w:p>
        </w:tc>
        <w:tc>
          <w:tcPr>
            <w:tcW w:w="3570"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Pr>
          <w:p>
            <w:pPr>
              <w:pStyle w:val="45"/>
              <w:shd w:val="clear" w:color="auto" w:fill="FFFFFF"/>
              <w:spacing w:line="265" w:lineRule="atLeast"/>
              <w:ind w:left="420"/>
              <w:rPr>
                <w:rFonts w:ascii="宋体" w:hAnsi="宋体" w:eastAsia="Times New Roman"/>
                <w:lang w:eastAsia="zh-CN"/>
              </w:rPr>
            </w:pPr>
          </w:p>
        </w:tc>
        <w:tc>
          <w:tcPr>
            <w:tcW w:w="3570"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Pr>
          <w:p>
            <w:pPr>
              <w:pStyle w:val="45"/>
              <w:shd w:val="clear" w:color="auto" w:fill="FFFFFF"/>
              <w:spacing w:line="265" w:lineRule="atLeast"/>
              <w:ind w:left="420"/>
              <w:rPr>
                <w:rFonts w:ascii="宋体" w:hAnsi="宋体" w:eastAsia="Times New Roman"/>
                <w:lang w:eastAsia="zh-CN"/>
              </w:rPr>
            </w:pPr>
          </w:p>
        </w:tc>
        <w:tc>
          <w:tcPr>
            <w:tcW w:w="3570"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Pr>
          <w:p>
            <w:pPr>
              <w:pStyle w:val="45"/>
              <w:shd w:val="clear" w:color="auto" w:fill="FFFFFF"/>
              <w:spacing w:line="265" w:lineRule="atLeast"/>
              <w:ind w:left="420"/>
              <w:rPr>
                <w:rFonts w:ascii="宋体" w:hAnsi="宋体" w:eastAsia="Times New Roman"/>
                <w:lang w:eastAsia="zh-CN"/>
              </w:rPr>
            </w:pPr>
          </w:p>
        </w:tc>
        <w:tc>
          <w:tcPr>
            <w:tcW w:w="3570"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tcPr>
          <w:p>
            <w:pPr>
              <w:pStyle w:val="45"/>
              <w:shd w:val="clear" w:color="auto" w:fill="FFFFFF"/>
              <w:spacing w:line="265" w:lineRule="atLeast"/>
              <w:ind w:left="420"/>
              <w:jc w:val="both"/>
              <w:rPr>
                <w:rFonts w:ascii="宋体" w:hAnsi="宋体" w:eastAsia="Times New Roman"/>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pPr>
              <w:pStyle w:val="45"/>
              <w:shd w:val="clear" w:color="auto" w:fill="FFFFFF"/>
              <w:spacing w:line="265" w:lineRule="atLeast"/>
              <w:ind w:left="420"/>
              <w:rPr>
                <w:rFonts w:ascii="宋体" w:hAnsi="宋体" w:eastAsia="Times New Roman"/>
                <w:b/>
                <w:bCs/>
                <w:lang w:eastAsia="zh-CN"/>
              </w:rPr>
            </w:pPr>
          </w:p>
        </w:tc>
        <w:tc>
          <w:tcPr>
            <w:tcW w:w="3570"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pPr>
              <w:pStyle w:val="45"/>
              <w:shd w:val="clear" w:color="auto" w:fill="FFFFFF"/>
              <w:spacing w:line="265" w:lineRule="atLeast"/>
              <w:ind w:left="420"/>
              <w:rPr>
                <w:rFonts w:ascii="宋体" w:hAnsi="宋体" w:eastAsia="Times New Roman"/>
                <w:lang w:eastAsia="zh-CN"/>
              </w:rPr>
            </w:pPr>
          </w:p>
        </w:tc>
        <w:tc>
          <w:tcPr>
            <w:tcW w:w="3570"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pPr>
              <w:pStyle w:val="45"/>
              <w:shd w:val="clear" w:color="auto" w:fill="FFFFFF"/>
              <w:spacing w:line="265" w:lineRule="atLeast"/>
              <w:ind w:left="420"/>
              <w:rPr>
                <w:rFonts w:ascii="宋体" w:hAnsi="宋体" w:eastAsia="Times New Roman"/>
                <w:b/>
                <w:bCs/>
                <w:lang w:eastAsia="zh-CN"/>
              </w:rPr>
            </w:pPr>
          </w:p>
        </w:tc>
        <w:tc>
          <w:tcPr>
            <w:tcW w:w="3570"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240" w:type="dxa"/>
            <w:gridSpan w:val="2"/>
          </w:tcPr>
          <w:p>
            <w:pPr>
              <w:pStyle w:val="45"/>
              <w:shd w:val="clear" w:color="auto" w:fill="FFFFFF"/>
              <w:spacing w:line="265" w:lineRule="atLeast"/>
              <w:ind w:left="420"/>
              <w:jc w:val="both"/>
              <w:rPr>
                <w:rFonts w:ascii="宋体" w:hAnsi="宋体" w:eastAsia="Times New Roman"/>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Pr>
          <w:p>
            <w:pPr>
              <w:pStyle w:val="45"/>
              <w:shd w:val="clear" w:color="auto" w:fill="FFFFFF"/>
              <w:spacing w:line="265" w:lineRule="atLeast"/>
              <w:ind w:left="0" w:firstLine="480" w:firstLineChars="200"/>
              <w:rPr>
                <w:rFonts w:ascii="宋体" w:hAnsi="宋体" w:eastAsia="Times New Roman"/>
                <w:szCs w:val="21"/>
                <w:lang w:eastAsia="zh-CN"/>
              </w:rPr>
            </w:pPr>
          </w:p>
        </w:tc>
        <w:tc>
          <w:tcPr>
            <w:tcW w:w="3570"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bottom w:val="single" w:color="auto" w:sz="4" w:space="0"/>
            </w:tcBorders>
          </w:tcPr>
          <w:p>
            <w:pPr>
              <w:pStyle w:val="45"/>
              <w:shd w:val="clear" w:color="auto" w:fill="FFFFFF"/>
              <w:spacing w:line="265" w:lineRule="atLeast"/>
              <w:ind w:left="0" w:firstLine="480" w:firstLineChars="200"/>
              <w:rPr>
                <w:rFonts w:ascii="宋体" w:hAnsi="宋体" w:eastAsia="Times New Roman"/>
                <w:lang w:eastAsia="zh-CN"/>
              </w:rPr>
            </w:pPr>
          </w:p>
        </w:tc>
        <w:tc>
          <w:tcPr>
            <w:tcW w:w="3570" w:type="dxa"/>
            <w:tcBorders>
              <w:bottom w:val="single" w:color="auto" w:sz="4" w:space="0"/>
            </w:tcBorders>
          </w:tcPr>
          <w:p>
            <w:pPr>
              <w:rPr>
                <w:rFonts w:ascii="宋体" w:hAnsi="宋体"/>
              </w:rPr>
            </w:pPr>
          </w:p>
        </w:tc>
      </w:tr>
    </w:tbl>
    <w:p>
      <w:pPr>
        <w:rPr>
          <w:rFonts w:ascii="宋体" w:hAnsi="宋体"/>
          <w:color w:val="FF0000"/>
        </w:rPr>
      </w:pPr>
    </w:p>
    <w:p>
      <w:pPr>
        <w:spacing w:line="440" w:lineRule="exact"/>
        <w:jc w:val="center"/>
        <w:rPr>
          <w:rFonts w:ascii="宋体" w:hAnsi="宋体"/>
          <w:b/>
          <w:bCs/>
          <w:sz w:val="24"/>
        </w:rPr>
      </w:pPr>
      <w:r>
        <w:rPr>
          <w:rFonts w:ascii="宋体" w:hAnsi="宋体"/>
          <w:b/>
          <w:color w:val="000000"/>
          <w:sz w:val="32"/>
          <w:szCs w:val="32"/>
        </w:rPr>
        <w:br w:type="page"/>
      </w:r>
      <w:r>
        <w:rPr>
          <w:rFonts w:hint="eastAsia" w:ascii="宋体" w:hAnsi="宋体"/>
          <w:b/>
          <w:bCs/>
          <w:sz w:val="24"/>
        </w:rPr>
        <w:t>响应文件主要目录</w:t>
      </w:r>
    </w:p>
    <w:p>
      <w:pPr>
        <w:spacing w:line="560" w:lineRule="exact"/>
        <w:rPr>
          <w:rFonts w:ascii="宋体" w:hAnsi="宋体"/>
          <w:sz w:val="24"/>
        </w:rPr>
      </w:pPr>
    </w:p>
    <w:p>
      <w:pPr>
        <w:spacing w:line="560" w:lineRule="exact"/>
        <w:ind w:firstLine="482" w:firstLineChars="200"/>
        <w:rPr>
          <w:rFonts w:ascii="宋体" w:hAnsi="宋体"/>
          <w:bCs/>
          <w:sz w:val="24"/>
        </w:rPr>
      </w:pPr>
      <w:r>
        <w:rPr>
          <w:rFonts w:hint="eastAsia" w:ascii="宋体" w:hAnsi="宋体"/>
          <w:b/>
          <w:bCs/>
          <w:sz w:val="24"/>
        </w:rPr>
        <w:t>一</w:t>
      </w:r>
      <w:r>
        <w:rPr>
          <w:rFonts w:hint="eastAsia" w:ascii="宋体" w:hAnsi="宋体"/>
          <w:sz w:val="24"/>
        </w:rPr>
        <w:t>、资格、</w:t>
      </w:r>
      <w:r>
        <w:rPr>
          <w:rFonts w:hint="eastAsia" w:ascii="宋体" w:hAnsi="宋体"/>
          <w:bCs/>
          <w:sz w:val="24"/>
        </w:rPr>
        <w:t>资信证明文件</w:t>
      </w:r>
    </w:p>
    <w:p>
      <w:pPr>
        <w:spacing w:line="560" w:lineRule="exact"/>
        <w:ind w:firstLine="480" w:firstLineChars="200"/>
        <w:rPr>
          <w:rFonts w:ascii="宋体" w:hAnsi="宋体"/>
          <w:sz w:val="24"/>
        </w:rPr>
      </w:pPr>
      <w:r>
        <w:rPr>
          <w:rFonts w:hint="eastAsia" w:ascii="宋体" w:hAnsi="宋体"/>
          <w:sz w:val="24"/>
        </w:rPr>
        <w:t>二、磋商响应函</w:t>
      </w:r>
    </w:p>
    <w:p>
      <w:pPr>
        <w:spacing w:line="560" w:lineRule="exact"/>
        <w:ind w:firstLine="480" w:firstLineChars="200"/>
        <w:rPr>
          <w:rFonts w:ascii="宋体" w:hAnsi="宋体"/>
          <w:sz w:val="24"/>
        </w:rPr>
      </w:pPr>
      <w:r>
        <w:rPr>
          <w:rFonts w:hint="eastAsia" w:ascii="宋体" w:hAnsi="宋体"/>
          <w:sz w:val="24"/>
        </w:rPr>
        <w:t>三、磋商响应报价表</w:t>
      </w:r>
    </w:p>
    <w:p>
      <w:pPr>
        <w:spacing w:line="560" w:lineRule="exact"/>
        <w:ind w:firstLine="480" w:firstLineChars="200"/>
        <w:rPr>
          <w:rFonts w:ascii="宋体" w:hAnsi="宋体"/>
          <w:sz w:val="24"/>
        </w:rPr>
      </w:pPr>
      <w:r>
        <w:rPr>
          <w:rFonts w:hint="eastAsia" w:ascii="宋体" w:hAnsi="宋体"/>
          <w:sz w:val="24"/>
        </w:rPr>
        <w:t>四、分项报价表</w:t>
      </w:r>
    </w:p>
    <w:p>
      <w:pPr>
        <w:spacing w:line="560" w:lineRule="exact"/>
        <w:ind w:firstLine="480" w:firstLineChars="200"/>
        <w:rPr>
          <w:rFonts w:ascii="宋体" w:hAnsi="宋体"/>
          <w:sz w:val="24"/>
        </w:rPr>
      </w:pPr>
      <w:r>
        <w:rPr>
          <w:rFonts w:hint="eastAsia" w:ascii="宋体" w:hAnsi="宋体"/>
          <w:sz w:val="24"/>
        </w:rPr>
        <w:t>五、建设方案及服务承诺</w:t>
      </w:r>
    </w:p>
    <w:p>
      <w:pPr>
        <w:spacing w:line="560" w:lineRule="exact"/>
        <w:ind w:firstLine="480" w:firstLineChars="200"/>
        <w:rPr>
          <w:rFonts w:ascii="宋体" w:hAnsi="宋体"/>
          <w:sz w:val="24"/>
        </w:rPr>
      </w:pPr>
      <w:r>
        <w:rPr>
          <w:rFonts w:hint="eastAsia" w:ascii="宋体" w:hAnsi="宋体"/>
          <w:sz w:val="24"/>
        </w:rPr>
        <w:t>六、相关资质证书</w:t>
      </w:r>
    </w:p>
    <w:p>
      <w:pPr>
        <w:spacing w:line="560" w:lineRule="exact"/>
        <w:ind w:firstLine="480" w:firstLineChars="200"/>
        <w:rPr>
          <w:rFonts w:ascii="宋体" w:hAnsi="宋体"/>
          <w:sz w:val="24"/>
        </w:rPr>
      </w:pPr>
      <w:r>
        <w:rPr>
          <w:rFonts w:hint="eastAsia" w:ascii="宋体" w:hAnsi="宋体"/>
          <w:sz w:val="24"/>
        </w:rPr>
        <w:t>七、</w:t>
      </w:r>
      <w:r>
        <w:rPr>
          <w:rFonts w:ascii="宋体" w:hAnsi="宋体"/>
          <w:sz w:val="24"/>
        </w:rPr>
        <w:t>项目团队清单</w:t>
      </w:r>
    </w:p>
    <w:p>
      <w:pPr>
        <w:spacing w:line="560" w:lineRule="exact"/>
        <w:ind w:firstLine="480" w:firstLineChars="200"/>
        <w:rPr>
          <w:rFonts w:ascii="宋体" w:hAnsi="宋体"/>
          <w:sz w:val="24"/>
        </w:rPr>
      </w:pPr>
      <w:r>
        <w:rPr>
          <w:rFonts w:hint="eastAsia" w:ascii="宋体" w:hAnsi="宋体"/>
          <w:sz w:val="24"/>
        </w:rPr>
        <w:t>八、</w:t>
      </w:r>
      <w:r>
        <w:rPr>
          <w:rFonts w:ascii="宋体" w:hAnsi="宋体"/>
          <w:sz w:val="24"/>
        </w:rPr>
        <w:t>业绩</w:t>
      </w:r>
    </w:p>
    <w:p>
      <w:pPr>
        <w:spacing w:line="560" w:lineRule="exact"/>
        <w:ind w:firstLine="480" w:firstLineChars="200"/>
        <w:rPr>
          <w:rFonts w:ascii="宋体" w:hAnsi="宋体"/>
          <w:i/>
          <w:sz w:val="24"/>
          <w:u w:val="single"/>
        </w:rPr>
      </w:pPr>
      <w:r>
        <w:rPr>
          <w:rFonts w:hint="eastAsia" w:ascii="宋体" w:hAnsi="宋体"/>
          <w:sz w:val="24"/>
        </w:rPr>
        <w:t>九、</w:t>
      </w:r>
      <w:r>
        <w:rPr>
          <w:rFonts w:ascii="宋体" w:hAnsi="宋体"/>
          <w:sz w:val="24"/>
        </w:rPr>
        <w:t>供应商认为需要提供的其他资料</w:t>
      </w:r>
    </w:p>
    <w:p>
      <w:pPr>
        <w:spacing w:line="440" w:lineRule="exact"/>
        <w:ind w:firstLine="480" w:firstLineChars="200"/>
        <w:rPr>
          <w:rFonts w:ascii="宋体" w:hAnsi="宋体"/>
          <w:color w:val="FF0000"/>
          <w:sz w:val="24"/>
        </w:rPr>
      </w:pPr>
    </w:p>
    <w:p>
      <w:pPr>
        <w:snapToGrid w:val="0"/>
        <w:spacing w:before="50" w:after="50"/>
        <w:rPr>
          <w:rFonts w:ascii="黑体" w:eastAsia="黑体"/>
          <w:sz w:val="44"/>
        </w:rPr>
      </w:pPr>
      <w:r>
        <w:rPr>
          <w:rFonts w:hint="eastAsia" w:ascii="宋体" w:hAnsi="宋体"/>
          <w:b/>
          <w:color w:val="000000"/>
          <w:sz w:val="24"/>
        </w:rPr>
        <w:t>一、资格、资信证明文件</w:t>
      </w:r>
    </w:p>
    <w:p>
      <w:pPr>
        <w:snapToGrid w:val="0"/>
        <w:spacing w:before="50" w:after="50" w:line="560" w:lineRule="exact"/>
        <w:rPr>
          <w:rFonts w:ascii="宋体" w:hAnsi="宋体"/>
          <w:sz w:val="24"/>
          <w:szCs w:val="20"/>
        </w:rPr>
      </w:pPr>
      <w:r>
        <w:rPr>
          <w:rFonts w:hint="eastAsia" w:ascii="宋体" w:hAnsi="宋体"/>
          <w:sz w:val="44"/>
        </w:rPr>
        <w:t xml:space="preserve">   </w:t>
      </w:r>
      <w:r>
        <w:rPr>
          <w:rFonts w:hint="eastAsia" w:ascii="宋体" w:hAnsi="宋体"/>
          <w:b/>
          <w:bCs/>
          <w:sz w:val="24"/>
        </w:rPr>
        <w:t>1、资格证明文件目录</w:t>
      </w:r>
    </w:p>
    <w:p>
      <w:pPr>
        <w:snapToGrid w:val="0"/>
        <w:spacing w:line="560" w:lineRule="exact"/>
        <w:ind w:firstLine="482" w:firstLineChars="200"/>
        <w:rPr>
          <w:rFonts w:ascii="宋体" w:hAnsi="宋体" w:cs="Arial"/>
          <w:i/>
          <w:color w:val="000000"/>
          <w:sz w:val="24"/>
          <w:u w:val="single"/>
        </w:rPr>
      </w:pPr>
      <w:r>
        <w:rPr>
          <w:rFonts w:hint="eastAsia" w:ascii="宋体" w:hAnsi="宋体"/>
          <w:b/>
          <w:i/>
          <w:color w:val="000000"/>
          <w:sz w:val="24"/>
          <w:u w:val="single"/>
        </w:rPr>
        <w:t>文件</w:t>
      </w:r>
      <w:r>
        <w:rPr>
          <w:rFonts w:ascii="宋体" w:hAnsi="宋体"/>
          <w:b/>
          <w:i/>
          <w:color w:val="000000"/>
          <w:sz w:val="24"/>
          <w:u w:val="single"/>
        </w:rPr>
        <w:t>1</w:t>
      </w:r>
      <w:r>
        <w:rPr>
          <w:rFonts w:hint="eastAsia" w:ascii="宋体" w:hAnsi="宋体"/>
          <w:b/>
          <w:i/>
          <w:color w:val="000000"/>
          <w:sz w:val="24"/>
          <w:u w:val="single"/>
        </w:rPr>
        <w:t xml:space="preserve"> </w:t>
      </w:r>
      <w:r>
        <w:rPr>
          <w:rFonts w:ascii="宋体" w:hAnsi="宋体"/>
          <w:b/>
          <w:i/>
          <w:color w:val="000000"/>
          <w:sz w:val="24"/>
          <w:u w:val="single"/>
        </w:rPr>
        <w:t xml:space="preserve"> </w:t>
      </w:r>
      <w:r>
        <w:rPr>
          <w:rFonts w:hint="eastAsia" w:ascii="宋体" w:hAnsi="宋体" w:cs="Arial"/>
          <w:i/>
          <w:color w:val="000000"/>
          <w:sz w:val="24"/>
          <w:u w:val="single"/>
        </w:rPr>
        <w:t>法人或者其他组织的营业执照等证明文件，自然人的身份证明（复印件）。</w:t>
      </w:r>
    </w:p>
    <w:p>
      <w:pPr>
        <w:snapToGrid w:val="0"/>
        <w:spacing w:before="50" w:after="143" w:afterLines="50" w:line="560" w:lineRule="exact"/>
        <w:ind w:firstLine="482" w:firstLineChars="200"/>
        <w:jc w:val="left"/>
        <w:rPr>
          <w:rFonts w:ascii="宋体" w:hAnsi="宋体"/>
          <w:b/>
          <w:i/>
          <w:color w:val="000000"/>
          <w:sz w:val="24"/>
          <w:u w:val="single"/>
        </w:rPr>
      </w:pPr>
      <w:r>
        <w:rPr>
          <w:rFonts w:hint="eastAsia" w:ascii="宋体" w:hAnsi="宋体"/>
          <w:b/>
          <w:i/>
          <w:color w:val="000000"/>
          <w:sz w:val="24"/>
          <w:u w:val="single"/>
        </w:rPr>
        <w:t>文件</w:t>
      </w:r>
      <w:r>
        <w:rPr>
          <w:rFonts w:ascii="宋体" w:hAnsi="宋体"/>
          <w:b/>
          <w:i/>
          <w:color w:val="000000"/>
          <w:sz w:val="24"/>
          <w:u w:val="single"/>
        </w:rPr>
        <w:t>2</w:t>
      </w:r>
      <w:r>
        <w:rPr>
          <w:rFonts w:hint="eastAsia" w:ascii="宋体" w:hAnsi="宋体"/>
          <w:b/>
          <w:i/>
          <w:color w:val="000000"/>
          <w:sz w:val="24"/>
          <w:u w:val="single"/>
        </w:rPr>
        <w:t xml:space="preserve">  </w:t>
      </w:r>
      <w:r>
        <w:rPr>
          <w:rFonts w:hint="eastAsia" w:ascii="宋体" w:hAnsi="宋体"/>
          <w:i/>
          <w:color w:val="000000"/>
          <w:sz w:val="24"/>
          <w:u w:val="single"/>
        </w:rPr>
        <w:t>2019年度</w:t>
      </w:r>
      <w:r>
        <w:rPr>
          <w:rFonts w:hint="eastAsia" w:ascii="宋体" w:hAnsi="宋体" w:cs="Arial"/>
          <w:i/>
          <w:color w:val="000000"/>
          <w:sz w:val="24"/>
          <w:u w:val="single"/>
        </w:rPr>
        <w:t>财务报告（复印件，成立不满一年不需提供）。</w:t>
      </w:r>
    </w:p>
    <w:p>
      <w:pPr>
        <w:snapToGrid w:val="0"/>
        <w:spacing w:line="560" w:lineRule="exact"/>
        <w:ind w:firstLine="482" w:firstLineChars="200"/>
        <w:rPr>
          <w:rFonts w:ascii="宋体" w:hAnsi="宋体" w:cs="Arial"/>
          <w:i/>
          <w:color w:val="000000"/>
          <w:sz w:val="24"/>
          <w:u w:val="single"/>
        </w:rPr>
      </w:pPr>
      <w:r>
        <w:rPr>
          <w:rFonts w:hint="eastAsia" w:ascii="宋体" w:hAnsi="宋体"/>
          <w:b/>
          <w:i/>
          <w:color w:val="000000"/>
          <w:sz w:val="24"/>
          <w:u w:val="single"/>
        </w:rPr>
        <w:t>文件</w:t>
      </w:r>
      <w:r>
        <w:rPr>
          <w:rFonts w:ascii="宋体" w:hAnsi="宋体"/>
          <w:b/>
          <w:i/>
          <w:color w:val="000000"/>
          <w:sz w:val="24"/>
          <w:u w:val="single"/>
        </w:rPr>
        <w:t xml:space="preserve">3  </w:t>
      </w:r>
      <w:r>
        <w:rPr>
          <w:rFonts w:hint="eastAsia" w:ascii="宋体" w:hAnsi="宋体" w:cs="Arial"/>
          <w:i/>
          <w:color w:val="000000"/>
          <w:sz w:val="24"/>
          <w:u w:val="single"/>
        </w:rPr>
        <w:t>依法缴纳税收和社会保障资金的相关材料（书面声明，格式自拟）。</w:t>
      </w:r>
    </w:p>
    <w:p>
      <w:pPr>
        <w:snapToGrid w:val="0"/>
        <w:spacing w:before="50" w:after="143" w:afterLines="50" w:line="560" w:lineRule="exact"/>
        <w:ind w:firstLine="482" w:firstLineChars="200"/>
        <w:jc w:val="left"/>
        <w:rPr>
          <w:rFonts w:ascii="宋体" w:hAnsi="宋体"/>
          <w:b/>
          <w:i/>
          <w:color w:val="000000"/>
          <w:sz w:val="24"/>
          <w:u w:val="single"/>
        </w:rPr>
      </w:pPr>
      <w:r>
        <w:rPr>
          <w:rFonts w:hint="eastAsia" w:ascii="宋体" w:hAnsi="宋体"/>
          <w:b/>
          <w:i/>
          <w:color w:val="000000"/>
          <w:sz w:val="24"/>
          <w:u w:val="single"/>
        </w:rPr>
        <w:t xml:space="preserve">文件4  </w:t>
      </w:r>
      <w:r>
        <w:rPr>
          <w:rFonts w:hint="eastAsia" w:ascii="宋体" w:hAnsi="宋体" w:cs="Arial"/>
          <w:i/>
          <w:sz w:val="24"/>
          <w:u w:val="single"/>
        </w:rPr>
        <w:t>具备履行合同所必需的设备和专业技术能力的书面声明（</w:t>
      </w:r>
      <w:r>
        <w:rPr>
          <w:rFonts w:ascii="宋体" w:hAnsi="宋体" w:cs="Arial"/>
          <w:i/>
          <w:sz w:val="24"/>
          <w:u w:val="single"/>
        </w:rPr>
        <w:t>原件,</w:t>
      </w:r>
      <w:r>
        <w:rPr>
          <w:rFonts w:hint="eastAsia" w:ascii="宋体" w:hAnsi="宋体" w:cs="Arial"/>
          <w:i/>
          <w:sz w:val="24"/>
          <w:u w:val="single"/>
        </w:rPr>
        <w:t>格式见后）。</w:t>
      </w:r>
    </w:p>
    <w:p>
      <w:pPr>
        <w:snapToGrid w:val="0"/>
        <w:spacing w:before="50" w:after="143" w:afterLines="50" w:line="560" w:lineRule="exact"/>
        <w:ind w:firstLine="482" w:firstLineChars="200"/>
        <w:jc w:val="left"/>
        <w:rPr>
          <w:rFonts w:ascii="宋体" w:hAnsi="宋体"/>
          <w:i/>
          <w:color w:val="000000"/>
          <w:sz w:val="24"/>
        </w:rPr>
      </w:pPr>
      <w:r>
        <w:rPr>
          <w:rFonts w:hint="eastAsia" w:ascii="宋体" w:hAnsi="宋体"/>
          <w:b/>
          <w:i/>
          <w:color w:val="000000"/>
          <w:sz w:val="24"/>
          <w:u w:val="single"/>
        </w:rPr>
        <w:t xml:space="preserve">文件5  </w:t>
      </w:r>
      <w:r>
        <w:rPr>
          <w:rFonts w:hint="eastAsia" w:ascii="宋体" w:hAnsi="宋体"/>
          <w:i/>
          <w:color w:val="000000"/>
          <w:sz w:val="24"/>
          <w:u w:val="single"/>
        </w:rPr>
        <w:t>法人</w:t>
      </w:r>
      <w:r>
        <w:rPr>
          <w:rFonts w:ascii="宋体" w:hAnsi="宋体"/>
          <w:i/>
          <w:color w:val="000000"/>
          <w:sz w:val="24"/>
          <w:u w:val="single"/>
        </w:rPr>
        <w:t>授权书及授权人身份证复印件</w:t>
      </w:r>
      <w:r>
        <w:rPr>
          <w:rFonts w:hint="eastAsia" w:ascii="宋体" w:hAnsi="宋体"/>
          <w:i/>
          <w:color w:val="000000"/>
          <w:sz w:val="24"/>
          <w:u w:val="single"/>
        </w:rPr>
        <w:t>。</w:t>
      </w:r>
    </w:p>
    <w:p>
      <w:pPr>
        <w:snapToGrid w:val="0"/>
        <w:spacing w:before="50" w:after="143" w:afterLines="50" w:line="560" w:lineRule="exact"/>
        <w:ind w:firstLine="480"/>
        <w:jc w:val="left"/>
        <w:rPr>
          <w:rFonts w:ascii="宋体" w:hAnsi="宋体" w:cs="Arial"/>
          <w:i/>
          <w:sz w:val="24"/>
          <w:u w:val="single"/>
        </w:rPr>
      </w:pPr>
      <w:r>
        <w:rPr>
          <w:rFonts w:hint="eastAsia" w:ascii="宋体" w:hAnsi="宋体"/>
          <w:b/>
          <w:bCs/>
          <w:i/>
          <w:sz w:val="24"/>
          <w:u w:val="single"/>
        </w:rPr>
        <w:t xml:space="preserve">文件6 </w:t>
      </w:r>
      <w:r>
        <w:rPr>
          <w:rFonts w:hint="eastAsia" w:ascii="宋体" w:hAnsi="宋体" w:cs="Arial"/>
          <w:i/>
          <w:sz w:val="24"/>
          <w:u w:val="single"/>
        </w:rPr>
        <w:t xml:space="preserve"> 磋商响应函（原件）。</w:t>
      </w:r>
    </w:p>
    <w:p>
      <w:pPr>
        <w:pStyle w:val="2"/>
        <w:ind w:firstLine="480"/>
        <w:rPr>
          <w:rFonts w:ascii="宋体" w:hAnsi="宋体"/>
          <w:i/>
          <w:sz w:val="24"/>
          <w:szCs w:val="24"/>
          <w:highlight w:val="none"/>
          <w:u w:val="single"/>
        </w:rPr>
      </w:pPr>
      <w:r>
        <w:rPr>
          <w:rFonts w:hint="eastAsia" w:ascii="宋体" w:hAnsi="宋体"/>
          <w:i/>
          <w:sz w:val="24"/>
          <w:szCs w:val="24"/>
          <w:highlight w:val="none"/>
          <w:u w:val="single"/>
        </w:rPr>
        <w:t>文件7  相关资格证明文件。</w:t>
      </w:r>
    </w:p>
    <w:p>
      <w:pPr>
        <w:rPr>
          <w:highlight w:val="none"/>
        </w:rPr>
      </w:pPr>
      <w:r>
        <w:rPr>
          <w:rFonts w:hint="eastAsia"/>
          <w:highlight w:val="none"/>
        </w:rPr>
        <w:t xml:space="preserve">(1)道路运输许可证 </w:t>
      </w:r>
    </w:p>
    <w:p>
      <w:pPr>
        <w:rPr>
          <w:highlight w:val="none"/>
        </w:rPr>
      </w:pPr>
      <w:r>
        <w:rPr>
          <w:rFonts w:hint="eastAsia"/>
          <w:highlight w:val="none"/>
        </w:rPr>
        <w:t>(2)垃圾清运服务许可证。</w:t>
      </w:r>
    </w:p>
    <w:p>
      <w:pPr>
        <w:rPr>
          <w:highlight w:val="none"/>
        </w:rPr>
      </w:pPr>
      <w:r>
        <w:rPr>
          <w:rFonts w:hint="eastAsia"/>
          <w:highlight w:val="none"/>
        </w:rPr>
        <w:t>(3)垃圾清运资质等级证书</w:t>
      </w:r>
    </w:p>
    <w:p>
      <w:pPr>
        <w:rPr>
          <w:highlight w:val="none"/>
        </w:rPr>
      </w:pPr>
      <w:r>
        <w:rPr>
          <w:rFonts w:hint="eastAsia"/>
          <w:highlight w:val="none"/>
        </w:rPr>
        <w:t>(4)生活垃圾经营性清扫、收集、运输服务许可证</w:t>
      </w:r>
    </w:p>
    <w:p>
      <w:pPr>
        <w:pStyle w:val="2"/>
        <w:ind w:firstLine="0" w:firstLineChars="0"/>
        <w:rPr>
          <w:rFonts w:ascii="宋体" w:hAnsi="宋体"/>
          <w:i/>
          <w:sz w:val="24"/>
          <w:szCs w:val="24"/>
          <w:highlight w:val="none"/>
          <w:u w:val="single"/>
        </w:rPr>
      </w:pPr>
      <w:r>
        <w:rPr>
          <w:rFonts w:hint="eastAsia"/>
          <w:highlight w:val="none"/>
        </w:rPr>
        <w:t>(5)市生活垃圾经营性处置服务许可证</w:t>
      </w:r>
    </w:p>
    <w:p>
      <w:pPr>
        <w:snapToGrid w:val="0"/>
        <w:spacing w:before="50" w:after="143" w:afterLines="50"/>
        <w:jc w:val="left"/>
        <w:rPr>
          <w:rFonts w:ascii="宋体" w:hAnsi="宋体"/>
          <w:b/>
          <w:sz w:val="24"/>
        </w:rPr>
      </w:pPr>
    </w:p>
    <w:p>
      <w:pPr>
        <w:snapToGrid w:val="0"/>
        <w:spacing w:before="50" w:after="143" w:afterLines="50"/>
        <w:ind w:firstLine="480"/>
        <w:jc w:val="left"/>
        <w:rPr>
          <w:rFonts w:ascii="宋体" w:hAnsi="宋体"/>
          <w:b/>
          <w:bCs/>
          <w:i/>
          <w:color w:val="FF0000"/>
          <w:sz w:val="24"/>
          <w:u w:val="single"/>
        </w:rPr>
      </w:pPr>
    </w:p>
    <w:p>
      <w:pPr>
        <w:spacing w:line="560" w:lineRule="exact"/>
        <w:ind w:firstLine="2393" w:firstLineChars="745"/>
        <w:rPr>
          <w:color w:val="FF0000"/>
        </w:rPr>
      </w:pPr>
      <w:bookmarkStart w:id="110" w:name="_Toc513029281"/>
      <w:bookmarkStart w:id="111" w:name="_Toc120614284"/>
      <w:bookmarkStart w:id="112" w:name="_Toc120614291"/>
      <w:bookmarkStart w:id="113" w:name="_Toc24878535"/>
      <w:bookmarkStart w:id="114" w:name="_Toc22356583"/>
      <w:bookmarkStart w:id="115" w:name="_Toc49090582"/>
      <w:bookmarkStart w:id="116" w:name="_Toc23828483"/>
      <w:bookmarkStart w:id="117" w:name="_Toc26554103"/>
      <w:r>
        <w:rPr>
          <w:rFonts w:ascii="黑体" w:hAnsi="黑体" w:eastAsia="黑体"/>
          <w:b/>
          <w:sz w:val="32"/>
          <w:szCs w:val="32"/>
        </w:rPr>
        <w:br w:type="page"/>
      </w:r>
    </w:p>
    <w:p>
      <w:pPr>
        <w:pStyle w:val="6"/>
        <w:jc w:val="center"/>
        <w:rPr>
          <w:rFonts w:ascii="黑体" w:hAnsi="宋体" w:eastAsia="黑体"/>
          <w:b w:val="0"/>
          <w:bCs/>
          <w:sz w:val="30"/>
          <w:szCs w:val="30"/>
        </w:rPr>
      </w:pPr>
      <w:r>
        <w:rPr>
          <w:rFonts w:hint="eastAsia" w:ascii="黑体" w:hAnsi="宋体" w:eastAsia="黑体"/>
          <w:b w:val="0"/>
          <w:bCs/>
          <w:sz w:val="30"/>
          <w:szCs w:val="30"/>
        </w:rPr>
        <w:t>具备履行合同所必需的设备和专业技术能力的书面声明</w:t>
      </w:r>
    </w:p>
    <w:p>
      <w:pPr>
        <w:spacing w:line="460" w:lineRule="exact"/>
        <w:ind w:firstLine="492"/>
        <w:rPr>
          <w:rFonts w:ascii="宋体" w:hAnsi="宋体"/>
          <w:bCs/>
          <w:sz w:val="24"/>
          <w:szCs w:val="21"/>
        </w:rPr>
      </w:pPr>
      <w:r>
        <w:rPr>
          <w:rFonts w:hint="eastAsia" w:ascii="宋体" w:hAnsi="宋体"/>
          <w:bCs/>
          <w:sz w:val="24"/>
        </w:rPr>
        <w:t>我公司郑重声明：我公司</w:t>
      </w:r>
      <w:r>
        <w:rPr>
          <w:rFonts w:hint="eastAsia" w:ascii="宋体" w:hAnsi="宋体"/>
          <w:bCs/>
          <w:sz w:val="24"/>
          <w:szCs w:val="21"/>
        </w:rPr>
        <w:t>具备履行本项采购合同所必需的设备和专业技术能力，为履行本项采购合同我公司</w:t>
      </w:r>
      <w:r>
        <w:rPr>
          <w:rFonts w:hint="eastAsia" w:ascii="宋体" w:hAnsi="宋体"/>
          <w:bCs/>
          <w:sz w:val="24"/>
        </w:rPr>
        <w:t>具备</w:t>
      </w:r>
      <w:r>
        <w:rPr>
          <w:rFonts w:hint="eastAsia" w:ascii="宋体" w:hAnsi="宋体"/>
          <w:bCs/>
          <w:sz w:val="24"/>
          <w:szCs w:val="21"/>
        </w:rPr>
        <w:t>如下主要设备和主要专业技术能力：</w:t>
      </w:r>
    </w:p>
    <w:p>
      <w:pPr>
        <w:spacing w:line="460" w:lineRule="exact"/>
        <w:ind w:firstLine="492"/>
        <w:rPr>
          <w:rFonts w:ascii="宋体" w:hAnsi="宋体"/>
          <w:bCs/>
          <w:sz w:val="24"/>
        </w:rPr>
      </w:pPr>
      <w:r>
        <w:rPr>
          <w:rFonts w:hint="eastAsia" w:ascii="宋体" w:hAnsi="宋体"/>
          <w:bCs/>
          <w:sz w:val="24"/>
          <w:szCs w:val="21"/>
        </w:rPr>
        <w:t>主要设备有：</w:t>
      </w:r>
      <w:r>
        <w:rPr>
          <w:rFonts w:hint="eastAsia" w:ascii="宋体" w:hAnsi="宋体"/>
          <w:bCs/>
          <w:sz w:val="24"/>
          <w:szCs w:val="21"/>
          <w:u w:val="single"/>
        </w:rPr>
        <w:t xml:space="preserve">  </w:t>
      </w:r>
      <w:r>
        <w:rPr>
          <w:rFonts w:hint="eastAsia" w:ascii="宋体" w:hAnsi="宋体"/>
          <w:bCs/>
          <w:sz w:val="24"/>
        </w:rPr>
        <w:t>。</w:t>
      </w:r>
    </w:p>
    <w:p>
      <w:pPr>
        <w:spacing w:line="460" w:lineRule="exact"/>
        <w:ind w:firstLine="492"/>
        <w:rPr>
          <w:rFonts w:ascii="宋体" w:hAnsi="宋体"/>
          <w:bCs/>
          <w:sz w:val="24"/>
        </w:rPr>
      </w:pPr>
      <w:r>
        <w:rPr>
          <w:rFonts w:hint="eastAsia" w:ascii="宋体" w:hAnsi="宋体"/>
          <w:bCs/>
          <w:sz w:val="24"/>
          <w:szCs w:val="21"/>
        </w:rPr>
        <w:t>主要专业技术能力有：</w:t>
      </w:r>
      <w:r>
        <w:rPr>
          <w:rFonts w:hint="eastAsia" w:ascii="宋体" w:hAnsi="宋体"/>
          <w:bCs/>
          <w:sz w:val="24"/>
          <w:szCs w:val="21"/>
          <w:u w:val="single"/>
        </w:rPr>
        <w:t xml:space="preserve">   </w:t>
      </w:r>
      <w:r>
        <w:rPr>
          <w:rFonts w:hint="eastAsia" w:ascii="宋体" w:hAnsi="宋体"/>
          <w:bCs/>
          <w:sz w:val="24"/>
          <w:szCs w:val="21"/>
        </w:rPr>
        <w:t>。</w:t>
      </w:r>
    </w:p>
    <w:p>
      <w:pPr>
        <w:spacing w:line="460" w:lineRule="exact"/>
        <w:rPr>
          <w:rFonts w:ascii="宋体" w:hAnsi="宋体"/>
          <w:bCs/>
          <w:sz w:val="24"/>
        </w:rPr>
      </w:pPr>
      <w:r>
        <w:rPr>
          <w:rFonts w:hint="eastAsia" w:ascii="宋体" w:hAnsi="宋体"/>
          <w:bCs/>
          <w:sz w:val="24"/>
        </w:rPr>
        <w:t xml:space="preserve">                                    </w:t>
      </w:r>
    </w:p>
    <w:p>
      <w:pPr>
        <w:pStyle w:val="6"/>
        <w:jc w:val="center"/>
      </w:pPr>
      <w:r>
        <w:rPr>
          <w:rFonts w:ascii="宋体" w:hAnsi="宋体"/>
          <w:bCs/>
          <w:szCs w:val="21"/>
        </w:rPr>
        <w:br w:type="page"/>
      </w:r>
      <w:r>
        <w:rPr>
          <w:rFonts w:hint="eastAsia" w:ascii="黑体" w:hAnsi="宋体" w:eastAsia="黑体"/>
          <w:b w:val="0"/>
          <w:bCs/>
          <w:sz w:val="30"/>
          <w:szCs w:val="30"/>
        </w:rPr>
        <w:t>法人授权书</w:t>
      </w:r>
    </w:p>
    <w:p>
      <w:pPr>
        <w:pStyle w:val="55"/>
        <w:rPr>
          <w:u w:val="none"/>
        </w:rPr>
      </w:pPr>
      <w:r>
        <w:rPr>
          <w:rFonts w:hint="eastAsia"/>
          <w:u w:val="none"/>
        </w:rPr>
        <w:t>本授权书声明：____________（供应商名称）授权________________（被授权人的姓名）为我方就              号项目采购活动的合法代理人，以本公司名义全权处理一切</w:t>
      </w:r>
    </w:p>
    <w:p>
      <w:pPr>
        <w:pStyle w:val="55"/>
        <w:rPr>
          <w:u w:val="none"/>
        </w:rPr>
      </w:pPr>
      <w:r>
        <w:rPr>
          <w:rFonts w:hint="eastAsia"/>
          <w:u w:val="none"/>
        </w:rPr>
        <w:t>与该项目采购有关的事务。</w:t>
      </w:r>
    </w:p>
    <w:p>
      <w:pPr>
        <w:pStyle w:val="55"/>
        <w:rPr>
          <w:u w:val="none"/>
        </w:rPr>
      </w:pPr>
      <w:r>
        <w:rPr>
          <w:rFonts w:hint="eastAsia"/>
          <w:u w:val="none"/>
        </w:rPr>
        <w:t>本授权书于______年____月____日起生效，特此声明。</w:t>
      </w:r>
    </w:p>
    <w:p>
      <w:pPr>
        <w:pStyle w:val="55"/>
        <w:rPr>
          <w:u w:val="none"/>
        </w:rPr>
      </w:pPr>
      <w:r>
        <w:rPr>
          <w:rFonts w:hint="eastAsia"/>
          <w:i/>
        </w:rPr>
        <w:t>代理人（被授权人）签字：</w:t>
      </w:r>
      <w:r>
        <w:rPr>
          <w:rFonts w:hint="eastAsia"/>
          <w:u w:val="none"/>
        </w:rPr>
        <w:t>_______________________</w:t>
      </w:r>
    </w:p>
    <w:p>
      <w:pPr>
        <w:pStyle w:val="55"/>
        <w:rPr>
          <w:u w:val="none"/>
        </w:rPr>
      </w:pPr>
      <w:r>
        <w:rPr>
          <w:rFonts w:hint="eastAsia"/>
          <w:u w:val="none"/>
        </w:rPr>
        <w:t xml:space="preserve">身份证号码：                              </w:t>
      </w:r>
    </w:p>
    <w:p>
      <w:pPr>
        <w:pStyle w:val="55"/>
        <w:rPr>
          <w:u w:val="none"/>
        </w:rPr>
      </w:pPr>
      <w:r>
        <w:rPr>
          <w:rFonts w:hint="eastAsia"/>
          <w:u w:val="none"/>
        </w:rPr>
        <w:t xml:space="preserve"> 联系电话：（手机）                          </w:t>
      </w:r>
    </w:p>
    <w:p>
      <w:pPr>
        <w:pStyle w:val="55"/>
        <w:rPr>
          <w:u w:val="none"/>
        </w:rPr>
      </w:pPr>
      <w:r>
        <w:rPr>
          <w:rFonts w:hint="eastAsia"/>
          <w:u w:val="none"/>
        </w:rPr>
        <w:t>单位名称：_____________________________________</w:t>
      </w:r>
    </w:p>
    <w:p>
      <w:pPr>
        <w:pStyle w:val="55"/>
        <w:rPr>
          <w:u w:val="none"/>
        </w:rPr>
      </w:pPr>
      <w:r>
        <w:rPr>
          <w:rFonts w:hint="eastAsia"/>
          <w:u w:val="none"/>
        </w:rPr>
        <w:t xml:space="preserve"> </w:t>
      </w:r>
      <w:r>
        <w:rPr>
          <w:rFonts w:hint="eastAsia"/>
          <w:i/>
        </w:rPr>
        <w:t>授权单位（公章）：</w:t>
      </w:r>
      <w:r>
        <w:rPr>
          <w:rFonts w:hint="eastAsia"/>
          <w:u w:val="none"/>
        </w:rPr>
        <w:t>_________________________________</w:t>
      </w:r>
    </w:p>
    <w:p>
      <w:pPr>
        <w:pStyle w:val="55"/>
        <w:rPr>
          <w:u w:val="none"/>
        </w:rPr>
      </w:pPr>
      <w:r>
        <w:rPr>
          <w:rFonts w:hint="eastAsia"/>
          <w:u w:val="none"/>
        </w:rPr>
        <w:t>单位名称：_____________________________________</w:t>
      </w:r>
    </w:p>
    <w:p>
      <w:pPr>
        <w:pStyle w:val="55"/>
        <w:rPr>
          <w:u w:val="none"/>
        </w:rPr>
      </w:pPr>
      <w:r>
        <w:rPr>
          <w:rFonts w:hint="eastAsia"/>
          <w:u w:val="none"/>
        </w:rPr>
        <w:t xml:space="preserve">地址：                                         </w:t>
      </w:r>
    </w:p>
    <w:p>
      <w:pPr>
        <w:pStyle w:val="55"/>
        <w:rPr>
          <w:u w:val="none"/>
        </w:rPr>
      </w:pPr>
      <w:r>
        <w:rPr>
          <w:rFonts w:hint="eastAsia"/>
          <w:u w:val="none"/>
        </w:rPr>
        <w:t>日期：</w:t>
      </w:r>
      <w:bookmarkStart w:id="118" w:name="_格式3__银行出具的资信证明"/>
      <w:bookmarkEnd w:id="118"/>
      <w:bookmarkStart w:id="119" w:name="_Hlt26671380"/>
      <w:bookmarkEnd w:id="119"/>
      <w:bookmarkStart w:id="120" w:name="_Hlt26955070"/>
      <w:bookmarkEnd w:id="120"/>
      <w:r>
        <w:rPr>
          <w:rFonts w:hint="eastAsia"/>
          <w:u w:val="none"/>
        </w:rPr>
        <w:t xml:space="preserve">   年   月   日</w:t>
      </w:r>
    </w:p>
    <w:p>
      <w:pPr>
        <w:ind w:firstLine="420"/>
        <w:rPr>
          <w:i/>
          <w:color w:val="FF0000"/>
          <w:sz w:val="24"/>
          <w:u w:val="single"/>
        </w:rPr>
      </w:pPr>
      <w:r>
        <w:rPr>
          <w:rFonts w:hint="eastAsia"/>
          <w:i/>
          <w:color w:val="FF0000"/>
          <w:sz w:val="24"/>
          <w:u w:val="single"/>
        </w:rPr>
        <w:t>（备注：如供应商组成联合体参加磋商，则联合体各方均须加盖公章）</w:t>
      </w:r>
    </w:p>
    <w:p>
      <w:pPr>
        <w:pStyle w:val="5"/>
      </w:pPr>
    </w:p>
    <w:p>
      <w:pPr>
        <w:pStyle w:val="5"/>
      </w:pPr>
    </w:p>
    <w:p>
      <w:pPr>
        <w:pStyle w:val="6"/>
        <w:rPr>
          <w:rFonts w:ascii="宋体" w:hAnsi="宋体"/>
          <w:b w:val="0"/>
          <w:bCs/>
          <w:sz w:val="24"/>
          <w:szCs w:val="21"/>
        </w:rPr>
      </w:pPr>
    </w:p>
    <w:p>
      <w:pPr>
        <w:jc w:val="center"/>
        <w:rPr>
          <w:rFonts w:ascii="宋体" w:hAnsi="宋体"/>
          <w:b/>
          <w:sz w:val="44"/>
        </w:rPr>
      </w:pPr>
      <w:r>
        <w:rPr>
          <w:rFonts w:ascii="宋体" w:hAnsi="宋体"/>
          <w:bCs/>
        </w:rPr>
        <w:br w:type="page"/>
      </w:r>
      <w:r>
        <w:rPr>
          <w:rFonts w:hint="eastAsia" w:ascii="宋体" w:hAnsi="宋体"/>
          <w:b/>
          <w:color w:val="000000"/>
          <w:sz w:val="24"/>
        </w:rPr>
        <w:t>二、磋商响应函</w:t>
      </w:r>
    </w:p>
    <w:p>
      <w:pPr>
        <w:pStyle w:val="55"/>
      </w:pPr>
      <w:r>
        <w:rPr>
          <w:rFonts w:hint="eastAsia"/>
        </w:rPr>
        <w:t xml:space="preserve">致：          </w:t>
      </w:r>
    </w:p>
    <w:p>
      <w:pPr>
        <w:pStyle w:val="55"/>
      </w:pPr>
      <w:r>
        <w:rPr>
          <w:rFonts w:hint="eastAsia"/>
        </w:rPr>
        <w:t xml:space="preserve">    根据贵方的       号磋商文件，正式授权下述签字人_________ (姓名和职务)代表我方______________（供应商的名称），全权处理本次项目磋商采购的有关事宜。</w:t>
      </w:r>
    </w:p>
    <w:p>
      <w:pPr>
        <w:pStyle w:val="55"/>
      </w:pPr>
      <w:r>
        <w:rPr>
          <w:rFonts w:hint="eastAsia"/>
        </w:rPr>
        <w:t>据此函，__________（签字人）兹宣布同意如下：</w:t>
      </w:r>
    </w:p>
    <w:p>
      <w:pPr>
        <w:pStyle w:val="55"/>
      </w:pPr>
      <w:r>
        <w:rPr>
          <w:rFonts w:hint="eastAsia"/>
        </w:rPr>
        <w:t>1.按磋商文件规定的各项要求，向买方提供所需服务。</w:t>
      </w:r>
    </w:p>
    <w:p>
      <w:pPr>
        <w:pStyle w:val="55"/>
      </w:pPr>
      <w:r>
        <w:rPr>
          <w:rFonts w:hint="eastAsia"/>
        </w:rPr>
        <w:t xml:space="preserve">    2.我们已详细审核全部磋商文件及其有效补充文件，我们知道必须放弃提出含糊</w:t>
      </w:r>
    </w:p>
    <w:p>
      <w:pPr>
        <w:pStyle w:val="55"/>
      </w:pPr>
      <w:r>
        <w:rPr>
          <w:rFonts w:hint="eastAsia"/>
        </w:rPr>
        <w:t>不清或误解问题的权利。</w:t>
      </w:r>
    </w:p>
    <w:p>
      <w:pPr>
        <w:pStyle w:val="55"/>
      </w:pPr>
      <w:r>
        <w:rPr>
          <w:rFonts w:hint="eastAsia"/>
        </w:rPr>
        <w:t xml:space="preserve">    3.我们同意从规定的</w:t>
      </w:r>
      <w:r>
        <w:rPr>
          <w:rFonts w:hint="eastAsia" w:ascii="宋体" w:hAnsi="宋体"/>
          <w:color w:val="000000"/>
        </w:rPr>
        <w:t>响应文件接收截止时间</w:t>
      </w:r>
      <w:r>
        <w:rPr>
          <w:rFonts w:hint="eastAsia"/>
        </w:rPr>
        <w:t>起遵循本响应文件，并在规定的磋商、</w:t>
      </w:r>
    </w:p>
    <w:p>
      <w:pPr>
        <w:pStyle w:val="55"/>
      </w:pPr>
      <w:r>
        <w:rPr>
          <w:rFonts w:hint="eastAsia"/>
        </w:rPr>
        <w:t>有效期期满之前均具有约束力。</w:t>
      </w:r>
    </w:p>
    <w:p>
      <w:pPr>
        <w:pStyle w:val="55"/>
      </w:pPr>
      <w:r>
        <w:rPr>
          <w:rFonts w:hint="eastAsia"/>
        </w:rPr>
        <w:t xml:space="preserve">    4.如果在</w:t>
      </w:r>
      <w:r>
        <w:rPr>
          <w:rFonts w:hint="eastAsia" w:ascii="宋体" w:hAnsi="宋体"/>
          <w:color w:val="000000"/>
        </w:rPr>
        <w:t>响应文件接收截止时间</w:t>
      </w:r>
      <w:r>
        <w:rPr>
          <w:rFonts w:hint="eastAsia"/>
        </w:rPr>
        <w:t>后规定的磋商有效期内撤回响应文件或成交后拒</w:t>
      </w:r>
    </w:p>
    <w:p>
      <w:pPr>
        <w:pStyle w:val="55"/>
      </w:pPr>
      <w:r>
        <w:rPr>
          <w:rFonts w:hint="eastAsia"/>
        </w:rPr>
        <w:t>绝签订合同，我们的磋商保证金可被贵方没收。</w:t>
      </w:r>
    </w:p>
    <w:p>
      <w:pPr>
        <w:pStyle w:val="55"/>
      </w:pPr>
      <w:r>
        <w:rPr>
          <w:rFonts w:hint="eastAsia"/>
        </w:rPr>
        <w:t xml:space="preserve">    5.同意向贵方提供贵方可能另外要求的与磋商采购有关的任何证据或资料，并保</w:t>
      </w:r>
    </w:p>
    <w:p>
      <w:pPr>
        <w:pStyle w:val="55"/>
      </w:pPr>
      <w:r>
        <w:rPr>
          <w:rFonts w:hint="eastAsia"/>
        </w:rPr>
        <w:t>证我方已提供和将要提供的文件是真实的、准确的。</w:t>
      </w:r>
    </w:p>
    <w:p>
      <w:pPr>
        <w:pStyle w:val="55"/>
      </w:pPr>
      <w:r>
        <w:rPr>
          <w:rFonts w:hint="eastAsia"/>
        </w:rPr>
        <w:t xml:space="preserve">    6.一旦我方成交，我方将根据磋商文件的规定，严格履行合同的责任和义务，并</w:t>
      </w:r>
    </w:p>
    <w:p>
      <w:pPr>
        <w:pStyle w:val="55"/>
      </w:pPr>
      <w:r>
        <w:rPr>
          <w:rFonts w:hint="eastAsia"/>
        </w:rPr>
        <w:t>保证在磋商文件规定的时间完成项目，交付买方验收、使用。</w:t>
      </w:r>
    </w:p>
    <w:p>
      <w:pPr>
        <w:pStyle w:val="55"/>
      </w:pPr>
      <w:r>
        <w:rPr>
          <w:rFonts w:hint="eastAsia"/>
        </w:rPr>
        <w:t>7.遵守磋商文件中要求的收费项目和标准。</w:t>
      </w:r>
    </w:p>
    <w:p>
      <w:pPr>
        <w:pStyle w:val="55"/>
      </w:pPr>
      <w:r>
        <w:rPr>
          <w:rFonts w:hint="eastAsia"/>
        </w:rPr>
        <w:t>8.与本磋商采购有关的正式通讯地址为：</w:t>
      </w:r>
    </w:p>
    <w:p>
      <w:pPr>
        <w:pStyle w:val="55"/>
      </w:pPr>
      <w:r>
        <w:rPr>
          <w:rFonts w:hint="eastAsia"/>
        </w:rPr>
        <w:t>地 址：                         邮 编：</w:t>
      </w:r>
    </w:p>
    <w:p>
      <w:pPr>
        <w:pStyle w:val="55"/>
      </w:pPr>
      <w:r>
        <w:rPr>
          <w:rFonts w:hint="eastAsia"/>
        </w:rPr>
        <w:t>电 话：                         传 真：</w:t>
      </w:r>
    </w:p>
    <w:p>
      <w:pPr>
        <w:pStyle w:val="55"/>
      </w:pPr>
      <w:r>
        <w:rPr>
          <w:rFonts w:hint="eastAsia"/>
        </w:rPr>
        <w:t xml:space="preserve">供应商开户行：                  账 户： </w:t>
      </w:r>
    </w:p>
    <w:p>
      <w:pPr>
        <w:pStyle w:val="55"/>
      </w:pPr>
      <w:r>
        <w:rPr>
          <w:rFonts w:hint="eastAsia"/>
        </w:rPr>
        <w:t xml:space="preserve">供应商名称（公章）：            </w:t>
      </w:r>
    </w:p>
    <w:p>
      <w:pPr>
        <w:pStyle w:val="55"/>
      </w:pPr>
      <w:r>
        <w:rPr>
          <w:rFonts w:hint="eastAsia"/>
        </w:rPr>
        <w:t>日 期：________年____月____日</w:t>
      </w:r>
    </w:p>
    <w:p>
      <w:pPr>
        <w:ind w:firstLine="420"/>
        <w:rPr>
          <w:i/>
          <w:color w:val="FF0000"/>
          <w:sz w:val="24"/>
          <w:u w:val="single"/>
        </w:rPr>
      </w:pPr>
      <w:r>
        <w:rPr>
          <w:rFonts w:hint="eastAsia"/>
          <w:i/>
          <w:color w:val="FF0000"/>
          <w:sz w:val="24"/>
          <w:u w:val="single"/>
        </w:rPr>
        <w:t>（备注：如供应商组成联合体参加磋商，则联合体各方均须加盖公章）</w:t>
      </w:r>
    </w:p>
    <w:p>
      <w:pPr>
        <w:jc w:val="center"/>
        <w:rPr>
          <w:rFonts w:ascii="宋体" w:hAnsi="宋体"/>
          <w:b/>
          <w:color w:val="000000"/>
          <w:sz w:val="44"/>
          <w:szCs w:val="44"/>
        </w:rPr>
      </w:pPr>
      <w:r>
        <w:rPr>
          <w:rFonts w:ascii="宋体" w:hAnsi="宋体"/>
          <w:b/>
          <w:sz w:val="44"/>
        </w:rPr>
        <w:br w:type="page"/>
      </w:r>
      <w:r>
        <w:rPr>
          <w:rFonts w:hint="eastAsia" w:ascii="宋体" w:hAnsi="宋体"/>
          <w:b/>
          <w:color w:val="000000"/>
          <w:sz w:val="24"/>
        </w:rPr>
        <w:t>三、磋商响应报价表</w:t>
      </w:r>
    </w:p>
    <w:p>
      <w:pPr>
        <w:spacing w:line="360" w:lineRule="auto"/>
        <w:rPr>
          <w:rFonts w:ascii="宋体" w:hAnsi="宋体"/>
        </w:rPr>
      </w:pPr>
      <w:r>
        <w:rPr>
          <w:rFonts w:hint="eastAsia" w:ascii="宋体" w:hAnsi="宋体"/>
        </w:rPr>
        <w:t xml:space="preserve">  </w:t>
      </w:r>
      <w:r>
        <w:rPr>
          <w:rFonts w:hint="eastAsia" w:ascii="宋体" w:hAnsi="宋体"/>
          <w:sz w:val="24"/>
        </w:rPr>
        <w:t xml:space="preserve">  </w:t>
      </w:r>
    </w:p>
    <w:p>
      <w:pPr>
        <w:pStyle w:val="19"/>
        <w:spacing w:line="360" w:lineRule="auto"/>
        <w:rPr>
          <w:rFonts w:ascii="宋体" w:hAnsi="宋体"/>
          <w:color w:val="000000"/>
          <w:szCs w:val="24"/>
        </w:rPr>
      </w:pPr>
      <w:r>
        <w:rPr>
          <w:rFonts w:hint="eastAsia" w:ascii="宋体" w:hAnsi="宋体"/>
          <w:color w:val="000000"/>
          <w:szCs w:val="24"/>
        </w:rPr>
        <w:t xml:space="preserve">项目名称： </w:t>
      </w:r>
    </w:p>
    <w:p>
      <w:pPr>
        <w:spacing w:line="360" w:lineRule="auto"/>
        <w:rPr>
          <w:rFonts w:ascii="宋体" w:hAnsi="宋体"/>
          <w:color w:val="000000"/>
          <w:sz w:val="24"/>
        </w:rPr>
      </w:pPr>
      <w:r>
        <w:rPr>
          <w:rFonts w:hint="eastAsia" w:ascii="宋体" w:hAnsi="宋体"/>
          <w:sz w:val="24"/>
        </w:rPr>
        <w:t xml:space="preserve">项目编号：  </w:t>
      </w:r>
      <w:r>
        <w:rPr>
          <w:rFonts w:hint="eastAsia" w:ascii="宋体" w:hAnsi="宋体"/>
          <w:color w:val="000000"/>
          <w:sz w:val="24"/>
        </w:rPr>
        <w:t xml:space="preserve">                                                 </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8"/>
        <w:gridCol w:w="6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8" w:type="dxa"/>
          </w:tcPr>
          <w:p>
            <w:pPr>
              <w:spacing w:line="360" w:lineRule="auto"/>
              <w:rPr>
                <w:rFonts w:ascii="宋体" w:hAnsi="宋体"/>
                <w:sz w:val="24"/>
              </w:rPr>
            </w:pPr>
            <w:r>
              <w:rPr>
                <w:rFonts w:hint="eastAsia" w:ascii="宋体" w:hAnsi="宋体"/>
                <w:sz w:val="28"/>
                <w:szCs w:val="28"/>
              </w:rPr>
              <w:t>总价报价</w:t>
            </w:r>
          </w:p>
        </w:tc>
        <w:tc>
          <w:tcPr>
            <w:tcW w:w="6914" w:type="dxa"/>
          </w:tcPr>
          <w:p>
            <w:pPr>
              <w:spacing w:line="360" w:lineRule="auto"/>
              <w:rPr>
                <w:rFonts w:ascii="宋体" w:hAnsi="宋体"/>
                <w:sz w:val="28"/>
                <w:szCs w:val="28"/>
              </w:rPr>
            </w:pPr>
            <w:r>
              <w:rPr>
                <w:rFonts w:hint="eastAsia" w:ascii="宋体" w:hAnsi="宋体"/>
                <w:sz w:val="24"/>
              </w:rPr>
              <w:t xml:space="preserve">  </w:t>
            </w:r>
          </w:p>
        </w:tc>
      </w:tr>
    </w:tbl>
    <w:p>
      <w:pPr>
        <w:spacing w:line="360" w:lineRule="auto"/>
        <w:rPr>
          <w:rFonts w:ascii="宋体" w:hAnsi="宋体"/>
          <w:sz w:val="28"/>
          <w:szCs w:val="28"/>
        </w:rPr>
      </w:pPr>
    </w:p>
    <w:p>
      <w:pPr>
        <w:spacing w:line="360" w:lineRule="auto"/>
        <w:rPr>
          <w:rFonts w:ascii="宋体" w:hAnsi="宋体"/>
          <w:sz w:val="28"/>
          <w:szCs w:val="28"/>
        </w:rPr>
      </w:pPr>
      <w:r>
        <w:rPr>
          <w:rFonts w:hint="eastAsia" w:ascii="宋体" w:hAnsi="宋体"/>
          <w:sz w:val="28"/>
          <w:szCs w:val="28"/>
        </w:rPr>
        <w:t>法定代表人（或授权代表）签字或签章:</w:t>
      </w:r>
      <w:r>
        <w:rPr>
          <w:rFonts w:ascii="宋体" w:hAnsi="宋体"/>
          <w:sz w:val="28"/>
          <w:szCs w:val="28"/>
        </w:rPr>
        <w:t xml:space="preserve"> </w:t>
      </w:r>
    </w:p>
    <w:p>
      <w:pPr>
        <w:pStyle w:val="32"/>
        <w:spacing w:before="0" w:beforeAutospacing="0" w:after="0" w:afterAutospacing="0" w:line="360" w:lineRule="auto"/>
      </w:pPr>
      <w:r>
        <w:rPr>
          <w:rFonts w:hint="eastAsia"/>
        </w:rPr>
        <w:t xml:space="preserve">                                         日期：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32"/>
        <w:spacing w:before="0" w:beforeAutospacing="0" w:after="0" w:afterAutospacing="0" w:line="360" w:lineRule="auto"/>
      </w:pPr>
    </w:p>
    <w:p>
      <w:pPr>
        <w:spacing w:line="360" w:lineRule="auto"/>
        <w:rPr>
          <w:rFonts w:ascii="宋体" w:hAnsi="宋体"/>
          <w:color w:val="000000"/>
          <w:sz w:val="24"/>
        </w:rPr>
      </w:pPr>
    </w:p>
    <w:p>
      <w:pPr>
        <w:pStyle w:val="5"/>
        <w:spacing w:line="360" w:lineRule="auto"/>
        <w:rPr>
          <w:rFonts w:ascii="宋体" w:hAnsi="宋体"/>
          <w:color w:val="000000"/>
          <w:sz w:val="24"/>
        </w:rPr>
      </w:pPr>
    </w:p>
    <w:p>
      <w:pPr>
        <w:jc w:val="center"/>
        <w:rPr>
          <w:rFonts w:ascii="宋体" w:hAnsi="宋体"/>
          <w:b/>
          <w:color w:val="000000"/>
          <w:sz w:val="24"/>
        </w:rPr>
      </w:pPr>
      <w:r>
        <w:rPr>
          <w:rFonts w:ascii="宋体" w:hAnsi="宋体"/>
          <w:b/>
          <w:sz w:val="44"/>
        </w:rPr>
        <w:br w:type="page"/>
      </w:r>
      <w:r>
        <w:rPr>
          <w:rFonts w:hint="eastAsia" w:ascii="宋体" w:hAnsi="宋体"/>
          <w:b/>
          <w:color w:val="000000"/>
          <w:sz w:val="24"/>
        </w:rPr>
        <w:t>四、建设方案及服务承诺</w:t>
      </w:r>
    </w:p>
    <w:bookmarkEnd w:id="107"/>
    <w:bookmarkEnd w:id="108"/>
    <w:bookmarkEnd w:id="109"/>
    <w:bookmarkEnd w:id="110"/>
    <w:bookmarkEnd w:id="111"/>
    <w:bookmarkEnd w:id="112"/>
    <w:bookmarkEnd w:id="113"/>
    <w:bookmarkEnd w:id="114"/>
    <w:bookmarkEnd w:id="115"/>
    <w:bookmarkEnd w:id="116"/>
    <w:bookmarkEnd w:id="117"/>
    <w:p>
      <w:pPr>
        <w:jc w:val="center"/>
        <w:rPr>
          <w:rFonts w:ascii="宋体" w:hAnsi="宋体"/>
          <w:b/>
          <w:color w:val="000000"/>
          <w:sz w:val="24"/>
        </w:rPr>
      </w:pPr>
    </w:p>
    <w:p>
      <w:pPr>
        <w:jc w:val="center"/>
        <w:rPr>
          <w:rFonts w:ascii="宋体" w:hAnsi="宋体"/>
          <w:color w:val="000000"/>
          <w:sz w:val="24"/>
        </w:rPr>
      </w:pPr>
    </w:p>
    <w:sectPr>
      <w:headerReference r:id="rId3" w:type="default"/>
      <w:footerReference r:id="rId4" w:type="default"/>
      <w:footerReference r:id="rId5" w:type="even"/>
      <w:pgSz w:w="11906" w:h="16838"/>
      <w:pgMar w:top="1015" w:right="1196" w:bottom="868" w:left="1259" w:header="851" w:footer="907" w:gutter="0"/>
      <w:pgNumType w:start="1"/>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40"/>
      </w:rPr>
    </w:pPr>
    <w:r>
      <w:fldChar w:fldCharType="begin"/>
    </w:r>
    <w:r>
      <w:rPr>
        <w:rStyle w:val="40"/>
      </w:rPr>
      <w:instrText xml:space="preserve">PAGE  </w:instrText>
    </w:r>
    <w:r>
      <w:fldChar w:fldCharType="separate"/>
    </w:r>
    <w:r>
      <w:rPr>
        <w:rStyle w:val="40"/>
      </w:rPr>
      <w:t>31</w:t>
    </w:r>
    <w:r>
      <w:fldChar w:fldCharType="end"/>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40"/>
      </w:rPr>
    </w:pPr>
    <w:r>
      <w:fldChar w:fldCharType="begin"/>
    </w:r>
    <w:r>
      <w:rPr>
        <w:rStyle w:val="40"/>
      </w:rPr>
      <w:instrText xml:space="preserve">PAGE  </w:instrText>
    </w:r>
    <w:r>
      <w:fldChar w:fldCharType="separate"/>
    </w:r>
    <w:r>
      <w:rPr>
        <w:rStyle w:val="40"/>
      </w:rPr>
      <w:t>1</w:t>
    </w:r>
    <w: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left" w:pos="3565"/>
        <w:tab w:val="clear" w:pos="4153"/>
        <w:tab w:val="clear" w:pos="830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4D56"/>
    <w:multiLevelType w:val="singleLevel"/>
    <w:tmpl w:val="06784D56"/>
    <w:lvl w:ilvl="0" w:tentative="0">
      <w:start w:val="1"/>
      <w:numFmt w:val="upperLetter"/>
      <w:pStyle w:val="72"/>
      <w:lvlText w:val="附录%1."/>
      <w:lvlJc w:val="left"/>
      <w:pPr>
        <w:tabs>
          <w:tab w:val="left" w:pos="907"/>
        </w:tabs>
        <w:ind w:left="907" w:hanging="907"/>
      </w:pPr>
      <w:rPr>
        <w:rFonts w:hint="eastAsia"/>
      </w:rPr>
    </w:lvl>
  </w:abstractNum>
  <w:abstractNum w:abstractNumId="1">
    <w:nsid w:val="20F053E0"/>
    <w:multiLevelType w:val="multilevel"/>
    <w:tmpl w:val="20F053E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24270BA"/>
    <w:multiLevelType w:val="multilevel"/>
    <w:tmpl w:val="224270B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37E4D61"/>
    <w:multiLevelType w:val="multilevel"/>
    <w:tmpl w:val="237E4D61"/>
    <w:lvl w:ilvl="0" w:tentative="0">
      <w:start w:val="1"/>
      <w:numFmt w:val="japaneseCounting"/>
      <w:pStyle w:val="65"/>
      <w:lvlText w:val="第%1章"/>
      <w:lvlJc w:val="left"/>
      <w:pPr>
        <w:ind w:left="9351" w:hanging="420"/>
      </w:pPr>
      <w:rPr>
        <w:rFonts w:hint="eastAsia" w:ascii="黑体" w:eastAsia="黑体"/>
        <w:b w:val="0"/>
        <w:sz w:val="36"/>
        <w:lang w:val="en-US"/>
      </w:rPr>
    </w:lvl>
    <w:lvl w:ilvl="1" w:tentative="0">
      <w:start w:val="1"/>
      <w:numFmt w:val="decimal"/>
      <w:pStyle w:val="61"/>
      <w:isLgl/>
      <w:lvlText w:val="%1.%2"/>
      <w:lvlJc w:val="left"/>
      <w:pPr>
        <w:tabs>
          <w:tab w:val="left" w:pos="851"/>
        </w:tabs>
        <w:ind w:left="0" w:firstLine="0"/>
      </w:pPr>
      <w:rPr>
        <w:rFonts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tentative="0">
      <w:start w:val="1"/>
      <w:numFmt w:val="decimal"/>
      <w:pStyle w:val="62"/>
      <w:isLgl/>
      <w:lvlText w:val="%1.%2.%3"/>
      <w:lvlJc w:val="left"/>
      <w:pPr>
        <w:tabs>
          <w:tab w:val="left" w:pos="851"/>
        </w:tabs>
        <w:ind w:left="0" w:firstLine="0"/>
      </w:pPr>
      <w:rPr>
        <w:rFonts w:cs="Times New Roman"/>
        <w:b w:val="0"/>
        <w:bCs w:val="0"/>
        <w:i w:val="0"/>
        <w:iCs w:val="0"/>
        <w:caps w:val="0"/>
        <w:smallCaps w:val="0"/>
        <w:strike w:val="0"/>
        <w:dstrike w:val="0"/>
        <w:outline w:val="0"/>
        <w:shadow w:val="0"/>
        <w:emboss w:val="0"/>
        <w:imprint w:val="0"/>
        <w:vanish w:val="0"/>
        <w:color w:val="000000"/>
        <w:spacing w:val="0"/>
        <w:kern w:val="0"/>
        <w:position w:val="0"/>
        <w:u w:val="none"/>
        <w:vertAlign w:val="baseline"/>
      </w:rPr>
    </w:lvl>
    <w:lvl w:ilvl="3" w:tentative="0">
      <w:start w:val="1"/>
      <w:numFmt w:val="decimal"/>
      <w:pStyle w:val="60"/>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4">
    <w:nsid w:val="2ECC73E7"/>
    <w:multiLevelType w:val="multilevel"/>
    <w:tmpl w:val="2ECC73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77B7485"/>
    <w:multiLevelType w:val="multilevel"/>
    <w:tmpl w:val="477B74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6594AFD"/>
    <w:multiLevelType w:val="multilevel"/>
    <w:tmpl w:val="56594AFD"/>
    <w:lvl w:ilvl="0" w:tentative="0">
      <w:start w:val="1"/>
      <w:numFmt w:val="decimal"/>
      <w:lvlText w:val="%1."/>
      <w:lvlJc w:val="left"/>
      <w:pPr>
        <w:ind w:left="779" w:hanging="420"/>
      </w:pPr>
    </w:lvl>
    <w:lvl w:ilvl="1" w:tentative="0">
      <w:start w:val="1"/>
      <w:numFmt w:val="lowerLetter"/>
      <w:lvlText w:val="%2)"/>
      <w:lvlJc w:val="left"/>
      <w:pPr>
        <w:ind w:left="1199" w:hanging="420"/>
      </w:pPr>
    </w:lvl>
    <w:lvl w:ilvl="2" w:tentative="0">
      <w:start w:val="1"/>
      <w:numFmt w:val="lowerRoman"/>
      <w:lvlText w:val="%3."/>
      <w:lvlJc w:val="right"/>
      <w:pPr>
        <w:ind w:left="1619" w:hanging="420"/>
      </w:pPr>
    </w:lvl>
    <w:lvl w:ilvl="3" w:tentative="0">
      <w:start w:val="1"/>
      <w:numFmt w:val="decimal"/>
      <w:lvlText w:val="%4."/>
      <w:lvlJc w:val="left"/>
      <w:pPr>
        <w:ind w:left="2039" w:hanging="420"/>
      </w:pPr>
    </w:lvl>
    <w:lvl w:ilvl="4" w:tentative="0">
      <w:start w:val="1"/>
      <w:numFmt w:val="lowerLetter"/>
      <w:lvlText w:val="%5)"/>
      <w:lvlJc w:val="left"/>
      <w:pPr>
        <w:ind w:left="2459" w:hanging="420"/>
      </w:pPr>
    </w:lvl>
    <w:lvl w:ilvl="5" w:tentative="0">
      <w:start w:val="1"/>
      <w:numFmt w:val="lowerRoman"/>
      <w:lvlText w:val="%6."/>
      <w:lvlJc w:val="right"/>
      <w:pPr>
        <w:ind w:left="2879" w:hanging="420"/>
      </w:pPr>
    </w:lvl>
    <w:lvl w:ilvl="6" w:tentative="0">
      <w:start w:val="1"/>
      <w:numFmt w:val="decimal"/>
      <w:lvlText w:val="%7."/>
      <w:lvlJc w:val="left"/>
      <w:pPr>
        <w:ind w:left="3299" w:hanging="420"/>
      </w:pPr>
    </w:lvl>
    <w:lvl w:ilvl="7" w:tentative="0">
      <w:start w:val="1"/>
      <w:numFmt w:val="lowerLetter"/>
      <w:lvlText w:val="%8)"/>
      <w:lvlJc w:val="left"/>
      <w:pPr>
        <w:ind w:left="3719" w:hanging="420"/>
      </w:pPr>
    </w:lvl>
    <w:lvl w:ilvl="8" w:tentative="0">
      <w:start w:val="1"/>
      <w:numFmt w:val="lowerRoman"/>
      <w:lvlText w:val="%9."/>
      <w:lvlJc w:val="right"/>
      <w:pPr>
        <w:ind w:left="4139" w:hanging="420"/>
      </w:pPr>
    </w:lvl>
  </w:abstractNum>
  <w:abstractNum w:abstractNumId="7">
    <w:nsid w:val="788B3916"/>
    <w:multiLevelType w:val="multilevel"/>
    <w:tmpl w:val="788B3916"/>
    <w:lvl w:ilvl="0" w:tentative="0">
      <w:start w:val="1"/>
      <w:numFmt w:val="decimal"/>
      <w:lvlText w:val="%1."/>
      <w:lvlJc w:val="left"/>
      <w:pPr>
        <w:ind w:left="561" w:hanging="420"/>
      </w:pPr>
    </w:lvl>
    <w:lvl w:ilvl="1" w:tentative="0">
      <w:start w:val="1"/>
      <w:numFmt w:val="lowerLetter"/>
      <w:lvlText w:val="%2)"/>
      <w:lvlJc w:val="left"/>
      <w:pPr>
        <w:ind w:left="981" w:hanging="420"/>
      </w:pPr>
    </w:lvl>
    <w:lvl w:ilvl="2" w:tentative="0">
      <w:start w:val="1"/>
      <w:numFmt w:val="lowerRoman"/>
      <w:lvlText w:val="%3."/>
      <w:lvlJc w:val="right"/>
      <w:pPr>
        <w:ind w:left="1401" w:hanging="420"/>
      </w:pPr>
    </w:lvl>
    <w:lvl w:ilvl="3" w:tentative="0">
      <w:start w:val="1"/>
      <w:numFmt w:val="decimal"/>
      <w:lvlText w:val="%4."/>
      <w:lvlJc w:val="left"/>
      <w:pPr>
        <w:ind w:left="1821" w:hanging="420"/>
      </w:pPr>
    </w:lvl>
    <w:lvl w:ilvl="4" w:tentative="0">
      <w:start w:val="1"/>
      <w:numFmt w:val="lowerLetter"/>
      <w:lvlText w:val="%5)"/>
      <w:lvlJc w:val="left"/>
      <w:pPr>
        <w:ind w:left="2241" w:hanging="420"/>
      </w:pPr>
    </w:lvl>
    <w:lvl w:ilvl="5" w:tentative="0">
      <w:start w:val="1"/>
      <w:numFmt w:val="lowerRoman"/>
      <w:lvlText w:val="%6."/>
      <w:lvlJc w:val="right"/>
      <w:pPr>
        <w:ind w:left="2661" w:hanging="420"/>
      </w:pPr>
    </w:lvl>
    <w:lvl w:ilvl="6" w:tentative="0">
      <w:start w:val="1"/>
      <w:numFmt w:val="decimal"/>
      <w:lvlText w:val="%7."/>
      <w:lvlJc w:val="left"/>
      <w:pPr>
        <w:ind w:left="3081" w:hanging="420"/>
      </w:pPr>
    </w:lvl>
    <w:lvl w:ilvl="7" w:tentative="0">
      <w:start w:val="1"/>
      <w:numFmt w:val="lowerLetter"/>
      <w:lvlText w:val="%8)"/>
      <w:lvlJc w:val="left"/>
      <w:pPr>
        <w:ind w:left="3501" w:hanging="420"/>
      </w:pPr>
    </w:lvl>
    <w:lvl w:ilvl="8" w:tentative="0">
      <w:start w:val="1"/>
      <w:numFmt w:val="lowerRoman"/>
      <w:lvlText w:val="%9."/>
      <w:lvlJc w:val="right"/>
      <w:pPr>
        <w:ind w:left="3921" w:hanging="420"/>
      </w:pPr>
    </w:lvl>
  </w:abstractNum>
  <w:num w:numId="1">
    <w:abstractNumId w:val="3"/>
  </w:num>
  <w:num w:numId="2">
    <w:abstractNumId w:val="0"/>
  </w:num>
  <w:num w:numId="3">
    <w:abstractNumId w:val="6"/>
  </w:num>
  <w:num w:numId="4">
    <w:abstractNumId w:val="2"/>
  </w:num>
  <w:num w:numId="5">
    <w:abstractNumId w:val="7"/>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26726"/>
    <w:rsid w:val="00002209"/>
    <w:rsid w:val="00002995"/>
    <w:rsid w:val="00003B42"/>
    <w:rsid w:val="00005A19"/>
    <w:rsid w:val="00006652"/>
    <w:rsid w:val="00006DD7"/>
    <w:rsid w:val="000136F0"/>
    <w:rsid w:val="00017387"/>
    <w:rsid w:val="00020761"/>
    <w:rsid w:val="000217AF"/>
    <w:rsid w:val="0002258C"/>
    <w:rsid w:val="000247C1"/>
    <w:rsid w:val="000301F8"/>
    <w:rsid w:val="00030A86"/>
    <w:rsid w:val="00031500"/>
    <w:rsid w:val="00031E66"/>
    <w:rsid w:val="00031F03"/>
    <w:rsid w:val="000336E2"/>
    <w:rsid w:val="00033910"/>
    <w:rsid w:val="00035E23"/>
    <w:rsid w:val="00040D8B"/>
    <w:rsid w:val="00042D59"/>
    <w:rsid w:val="000433A0"/>
    <w:rsid w:val="00044140"/>
    <w:rsid w:val="0004532E"/>
    <w:rsid w:val="0005106C"/>
    <w:rsid w:val="0005265C"/>
    <w:rsid w:val="00054DE8"/>
    <w:rsid w:val="00055173"/>
    <w:rsid w:val="000562C0"/>
    <w:rsid w:val="000600DE"/>
    <w:rsid w:val="0006058F"/>
    <w:rsid w:val="0006240C"/>
    <w:rsid w:val="00062CD4"/>
    <w:rsid w:val="00063EEB"/>
    <w:rsid w:val="0006479E"/>
    <w:rsid w:val="00065787"/>
    <w:rsid w:val="000673B6"/>
    <w:rsid w:val="00067530"/>
    <w:rsid w:val="00070095"/>
    <w:rsid w:val="000719A1"/>
    <w:rsid w:val="00072F55"/>
    <w:rsid w:val="0007539D"/>
    <w:rsid w:val="000775B1"/>
    <w:rsid w:val="00080BF6"/>
    <w:rsid w:val="00080E3B"/>
    <w:rsid w:val="00082802"/>
    <w:rsid w:val="0008297B"/>
    <w:rsid w:val="0008408C"/>
    <w:rsid w:val="000842C8"/>
    <w:rsid w:val="00084C20"/>
    <w:rsid w:val="000853EF"/>
    <w:rsid w:val="00087456"/>
    <w:rsid w:val="000874DF"/>
    <w:rsid w:val="00087E39"/>
    <w:rsid w:val="0009050E"/>
    <w:rsid w:val="000917FE"/>
    <w:rsid w:val="0009200E"/>
    <w:rsid w:val="00092321"/>
    <w:rsid w:val="00092AC7"/>
    <w:rsid w:val="00093560"/>
    <w:rsid w:val="00094791"/>
    <w:rsid w:val="00094840"/>
    <w:rsid w:val="0009545E"/>
    <w:rsid w:val="0009779B"/>
    <w:rsid w:val="00097AFA"/>
    <w:rsid w:val="000A0C03"/>
    <w:rsid w:val="000A4069"/>
    <w:rsid w:val="000B40D4"/>
    <w:rsid w:val="000B40EA"/>
    <w:rsid w:val="000B57ED"/>
    <w:rsid w:val="000B5FD6"/>
    <w:rsid w:val="000B6B84"/>
    <w:rsid w:val="000B7353"/>
    <w:rsid w:val="000B7DBA"/>
    <w:rsid w:val="000C0811"/>
    <w:rsid w:val="000C165D"/>
    <w:rsid w:val="000C1E90"/>
    <w:rsid w:val="000C2F4F"/>
    <w:rsid w:val="000C2F64"/>
    <w:rsid w:val="000C399B"/>
    <w:rsid w:val="000C480A"/>
    <w:rsid w:val="000C61E3"/>
    <w:rsid w:val="000C6A2B"/>
    <w:rsid w:val="000D0069"/>
    <w:rsid w:val="000D1517"/>
    <w:rsid w:val="000D3F30"/>
    <w:rsid w:val="000D58C3"/>
    <w:rsid w:val="000D5D52"/>
    <w:rsid w:val="000D5EA8"/>
    <w:rsid w:val="000D62DE"/>
    <w:rsid w:val="000D7F34"/>
    <w:rsid w:val="000D7F45"/>
    <w:rsid w:val="000E20A6"/>
    <w:rsid w:val="000E2C12"/>
    <w:rsid w:val="000E3510"/>
    <w:rsid w:val="000E5E96"/>
    <w:rsid w:val="000E7BF1"/>
    <w:rsid w:val="000F10CA"/>
    <w:rsid w:val="000F1672"/>
    <w:rsid w:val="000F5062"/>
    <w:rsid w:val="001000CA"/>
    <w:rsid w:val="00100B0C"/>
    <w:rsid w:val="00101D75"/>
    <w:rsid w:val="001023D0"/>
    <w:rsid w:val="00103DAD"/>
    <w:rsid w:val="00105F91"/>
    <w:rsid w:val="00106AFE"/>
    <w:rsid w:val="00106C25"/>
    <w:rsid w:val="00106C7F"/>
    <w:rsid w:val="00107350"/>
    <w:rsid w:val="0011098B"/>
    <w:rsid w:val="001139D0"/>
    <w:rsid w:val="00113EC0"/>
    <w:rsid w:val="00115F64"/>
    <w:rsid w:val="00116855"/>
    <w:rsid w:val="001168FD"/>
    <w:rsid w:val="00117A85"/>
    <w:rsid w:val="00117FE8"/>
    <w:rsid w:val="001224B9"/>
    <w:rsid w:val="00123645"/>
    <w:rsid w:val="0012411B"/>
    <w:rsid w:val="00124E53"/>
    <w:rsid w:val="00124EDB"/>
    <w:rsid w:val="00130006"/>
    <w:rsid w:val="00131DF8"/>
    <w:rsid w:val="00131FC6"/>
    <w:rsid w:val="00132253"/>
    <w:rsid w:val="00133AD0"/>
    <w:rsid w:val="00133E40"/>
    <w:rsid w:val="001342F9"/>
    <w:rsid w:val="00136534"/>
    <w:rsid w:val="001413E8"/>
    <w:rsid w:val="00141ED2"/>
    <w:rsid w:val="001423BE"/>
    <w:rsid w:val="00143649"/>
    <w:rsid w:val="001441D9"/>
    <w:rsid w:val="001453C1"/>
    <w:rsid w:val="00147FFE"/>
    <w:rsid w:val="001500FD"/>
    <w:rsid w:val="0015352F"/>
    <w:rsid w:val="0015380C"/>
    <w:rsid w:val="00154766"/>
    <w:rsid w:val="00157F58"/>
    <w:rsid w:val="001603BA"/>
    <w:rsid w:val="001619DB"/>
    <w:rsid w:val="00161A22"/>
    <w:rsid w:val="00162B8F"/>
    <w:rsid w:val="001652AF"/>
    <w:rsid w:val="001661CD"/>
    <w:rsid w:val="001666A1"/>
    <w:rsid w:val="00166C1A"/>
    <w:rsid w:val="00166D37"/>
    <w:rsid w:val="00167437"/>
    <w:rsid w:val="001704C1"/>
    <w:rsid w:val="001738E5"/>
    <w:rsid w:val="0017441D"/>
    <w:rsid w:val="0017456D"/>
    <w:rsid w:val="00174D5D"/>
    <w:rsid w:val="00175616"/>
    <w:rsid w:val="00177459"/>
    <w:rsid w:val="001809CA"/>
    <w:rsid w:val="00180F36"/>
    <w:rsid w:val="001814E8"/>
    <w:rsid w:val="00181C74"/>
    <w:rsid w:val="001852E0"/>
    <w:rsid w:val="001857FA"/>
    <w:rsid w:val="00185E93"/>
    <w:rsid w:val="00185EBC"/>
    <w:rsid w:val="0018783C"/>
    <w:rsid w:val="00190AC6"/>
    <w:rsid w:val="00190DC9"/>
    <w:rsid w:val="001927E4"/>
    <w:rsid w:val="00192C00"/>
    <w:rsid w:val="001945E2"/>
    <w:rsid w:val="00194F30"/>
    <w:rsid w:val="001953DB"/>
    <w:rsid w:val="001969F0"/>
    <w:rsid w:val="00196AC7"/>
    <w:rsid w:val="001A0111"/>
    <w:rsid w:val="001A271D"/>
    <w:rsid w:val="001A2A85"/>
    <w:rsid w:val="001A2E80"/>
    <w:rsid w:val="001A3F34"/>
    <w:rsid w:val="001A7923"/>
    <w:rsid w:val="001A7E8C"/>
    <w:rsid w:val="001B01DD"/>
    <w:rsid w:val="001B0963"/>
    <w:rsid w:val="001B0E12"/>
    <w:rsid w:val="001B2341"/>
    <w:rsid w:val="001B2D0A"/>
    <w:rsid w:val="001B2DD2"/>
    <w:rsid w:val="001B4656"/>
    <w:rsid w:val="001B5888"/>
    <w:rsid w:val="001B66DD"/>
    <w:rsid w:val="001B68A6"/>
    <w:rsid w:val="001B7F6B"/>
    <w:rsid w:val="001C0759"/>
    <w:rsid w:val="001C0E6D"/>
    <w:rsid w:val="001C19F1"/>
    <w:rsid w:val="001C28C7"/>
    <w:rsid w:val="001C2902"/>
    <w:rsid w:val="001C367B"/>
    <w:rsid w:val="001D4376"/>
    <w:rsid w:val="001D4DAD"/>
    <w:rsid w:val="001D5B9A"/>
    <w:rsid w:val="001E0272"/>
    <w:rsid w:val="001E02FF"/>
    <w:rsid w:val="001E0B1C"/>
    <w:rsid w:val="001E2C89"/>
    <w:rsid w:val="001E5368"/>
    <w:rsid w:val="001E7558"/>
    <w:rsid w:val="001F076C"/>
    <w:rsid w:val="001F2FC3"/>
    <w:rsid w:val="00201353"/>
    <w:rsid w:val="00203C51"/>
    <w:rsid w:val="002043FB"/>
    <w:rsid w:val="0020498C"/>
    <w:rsid w:val="00205770"/>
    <w:rsid w:val="00207423"/>
    <w:rsid w:val="00210843"/>
    <w:rsid w:val="00210DB7"/>
    <w:rsid w:val="00214AA2"/>
    <w:rsid w:val="002200CD"/>
    <w:rsid w:val="00222B72"/>
    <w:rsid w:val="00224F03"/>
    <w:rsid w:val="002260D7"/>
    <w:rsid w:val="00226599"/>
    <w:rsid w:val="0022700E"/>
    <w:rsid w:val="0022736B"/>
    <w:rsid w:val="00233E73"/>
    <w:rsid w:val="00235204"/>
    <w:rsid w:val="002358C3"/>
    <w:rsid w:val="00237EDB"/>
    <w:rsid w:val="002408B3"/>
    <w:rsid w:val="002452F7"/>
    <w:rsid w:val="00246334"/>
    <w:rsid w:val="002500BE"/>
    <w:rsid w:val="00250C6F"/>
    <w:rsid w:val="0025186C"/>
    <w:rsid w:val="002525E2"/>
    <w:rsid w:val="00253AB8"/>
    <w:rsid w:val="00254113"/>
    <w:rsid w:val="00255236"/>
    <w:rsid w:val="00255FD0"/>
    <w:rsid w:val="00256074"/>
    <w:rsid w:val="0025720B"/>
    <w:rsid w:val="002575BE"/>
    <w:rsid w:val="00261DAA"/>
    <w:rsid w:val="002649C7"/>
    <w:rsid w:val="0026504C"/>
    <w:rsid w:val="00266291"/>
    <w:rsid w:val="00266A15"/>
    <w:rsid w:val="00267035"/>
    <w:rsid w:val="002678B4"/>
    <w:rsid w:val="002679E8"/>
    <w:rsid w:val="00267BA7"/>
    <w:rsid w:val="00267FA8"/>
    <w:rsid w:val="00271284"/>
    <w:rsid w:val="00272DB9"/>
    <w:rsid w:val="00274DB6"/>
    <w:rsid w:val="00274EFA"/>
    <w:rsid w:val="00275AC8"/>
    <w:rsid w:val="00275F57"/>
    <w:rsid w:val="002766DF"/>
    <w:rsid w:val="00284779"/>
    <w:rsid w:val="0028541C"/>
    <w:rsid w:val="00292891"/>
    <w:rsid w:val="002962EF"/>
    <w:rsid w:val="002973EE"/>
    <w:rsid w:val="00297860"/>
    <w:rsid w:val="002978B9"/>
    <w:rsid w:val="002A26D0"/>
    <w:rsid w:val="002A30A1"/>
    <w:rsid w:val="002A5190"/>
    <w:rsid w:val="002A53E9"/>
    <w:rsid w:val="002A557E"/>
    <w:rsid w:val="002A5D51"/>
    <w:rsid w:val="002A7268"/>
    <w:rsid w:val="002A77D2"/>
    <w:rsid w:val="002B0FCA"/>
    <w:rsid w:val="002B3275"/>
    <w:rsid w:val="002B452D"/>
    <w:rsid w:val="002B557E"/>
    <w:rsid w:val="002B635B"/>
    <w:rsid w:val="002B67A8"/>
    <w:rsid w:val="002C103E"/>
    <w:rsid w:val="002C1DA2"/>
    <w:rsid w:val="002C2DDF"/>
    <w:rsid w:val="002C3301"/>
    <w:rsid w:val="002C384A"/>
    <w:rsid w:val="002C4156"/>
    <w:rsid w:val="002C481F"/>
    <w:rsid w:val="002C5DF1"/>
    <w:rsid w:val="002C7E15"/>
    <w:rsid w:val="002D0FDC"/>
    <w:rsid w:val="002D1DAC"/>
    <w:rsid w:val="002D31C3"/>
    <w:rsid w:val="002D4E37"/>
    <w:rsid w:val="002D5068"/>
    <w:rsid w:val="002D5241"/>
    <w:rsid w:val="002D6990"/>
    <w:rsid w:val="002D69A8"/>
    <w:rsid w:val="002D7108"/>
    <w:rsid w:val="002D74A9"/>
    <w:rsid w:val="002E29E8"/>
    <w:rsid w:val="002E5BA0"/>
    <w:rsid w:val="002F0BAB"/>
    <w:rsid w:val="002F5DD5"/>
    <w:rsid w:val="002F6156"/>
    <w:rsid w:val="002F6336"/>
    <w:rsid w:val="002F6648"/>
    <w:rsid w:val="00301989"/>
    <w:rsid w:val="00301D65"/>
    <w:rsid w:val="00302327"/>
    <w:rsid w:val="003031A4"/>
    <w:rsid w:val="003043F6"/>
    <w:rsid w:val="00305121"/>
    <w:rsid w:val="00310118"/>
    <w:rsid w:val="00310266"/>
    <w:rsid w:val="00311D5B"/>
    <w:rsid w:val="00312F22"/>
    <w:rsid w:val="003178B9"/>
    <w:rsid w:val="00317AAC"/>
    <w:rsid w:val="00321423"/>
    <w:rsid w:val="003226B4"/>
    <w:rsid w:val="00330BD2"/>
    <w:rsid w:val="003322B6"/>
    <w:rsid w:val="00334194"/>
    <w:rsid w:val="003344E4"/>
    <w:rsid w:val="00334C5D"/>
    <w:rsid w:val="00336E84"/>
    <w:rsid w:val="003372C1"/>
    <w:rsid w:val="00342AA7"/>
    <w:rsid w:val="00342F43"/>
    <w:rsid w:val="003446E4"/>
    <w:rsid w:val="003447F1"/>
    <w:rsid w:val="00345CA1"/>
    <w:rsid w:val="0034654D"/>
    <w:rsid w:val="00347A82"/>
    <w:rsid w:val="0035029B"/>
    <w:rsid w:val="003511EB"/>
    <w:rsid w:val="00351415"/>
    <w:rsid w:val="00351D59"/>
    <w:rsid w:val="003539A2"/>
    <w:rsid w:val="00353DBE"/>
    <w:rsid w:val="00356C1F"/>
    <w:rsid w:val="0035723A"/>
    <w:rsid w:val="0035740F"/>
    <w:rsid w:val="00357D8B"/>
    <w:rsid w:val="00360189"/>
    <w:rsid w:val="003607AE"/>
    <w:rsid w:val="00361B27"/>
    <w:rsid w:val="00361C51"/>
    <w:rsid w:val="00361EB0"/>
    <w:rsid w:val="00363078"/>
    <w:rsid w:val="003643AB"/>
    <w:rsid w:val="003672EA"/>
    <w:rsid w:val="0036745C"/>
    <w:rsid w:val="0037083A"/>
    <w:rsid w:val="00370FCD"/>
    <w:rsid w:val="00371D58"/>
    <w:rsid w:val="003724FB"/>
    <w:rsid w:val="003731E5"/>
    <w:rsid w:val="003734BA"/>
    <w:rsid w:val="003747AF"/>
    <w:rsid w:val="003754BB"/>
    <w:rsid w:val="0037582C"/>
    <w:rsid w:val="00375A16"/>
    <w:rsid w:val="00377815"/>
    <w:rsid w:val="0038041F"/>
    <w:rsid w:val="00380C17"/>
    <w:rsid w:val="00381624"/>
    <w:rsid w:val="00382D24"/>
    <w:rsid w:val="003853E7"/>
    <w:rsid w:val="00386F1E"/>
    <w:rsid w:val="00387560"/>
    <w:rsid w:val="003906FF"/>
    <w:rsid w:val="00393043"/>
    <w:rsid w:val="003939A5"/>
    <w:rsid w:val="00393FCC"/>
    <w:rsid w:val="003958F9"/>
    <w:rsid w:val="0039595F"/>
    <w:rsid w:val="00397E2C"/>
    <w:rsid w:val="003A14D3"/>
    <w:rsid w:val="003A1D61"/>
    <w:rsid w:val="003A3356"/>
    <w:rsid w:val="003A4589"/>
    <w:rsid w:val="003A535F"/>
    <w:rsid w:val="003A7C2A"/>
    <w:rsid w:val="003B17D9"/>
    <w:rsid w:val="003B1E62"/>
    <w:rsid w:val="003B3A2D"/>
    <w:rsid w:val="003B6367"/>
    <w:rsid w:val="003B688A"/>
    <w:rsid w:val="003C18B0"/>
    <w:rsid w:val="003C3750"/>
    <w:rsid w:val="003C377D"/>
    <w:rsid w:val="003C486C"/>
    <w:rsid w:val="003C4A2D"/>
    <w:rsid w:val="003C6E00"/>
    <w:rsid w:val="003C79A5"/>
    <w:rsid w:val="003D0AFD"/>
    <w:rsid w:val="003D1264"/>
    <w:rsid w:val="003D15B1"/>
    <w:rsid w:val="003D3EE4"/>
    <w:rsid w:val="003D54FD"/>
    <w:rsid w:val="003D5538"/>
    <w:rsid w:val="003D743C"/>
    <w:rsid w:val="003D7B7E"/>
    <w:rsid w:val="003D7D80"/>
    <w:rsid w:val="003E2035"/>
    <w:rsid w:val="003E33CB"/>
    <w:rsid w:val="003E3804"/>
    <w:rsid w:val="003E4184"/>
    <w:rsid w:val="003E6CAE"/>
    <w:rsid w:val="003E7474"/>
    <w:rsid w:val="003E770F"/>
    <w:rsid w:val="003F0A82"/>
    <w:rsid w:val="003F140F"/>
    <w:rsid w:val="003F15F8"/>
    <w:rsid w:val="003F27C9"/>
    <w:rsid w:val="003F2FAB"/>
    <w:rsid w:val="003F3990"/>
    <w:rsid w:val="003F56E6"/>
    <w:rsid w:val="003F6603"/>
    <w:rsid w:val="003F7A76"/>
    <w:rsid w:val="004058C3"/>
    <w:rsid w:val="00406267"/>
    <w:rsid w:val="004115C8"/>
    <w:rsid w:val="0041160A"/>
    <w:rsid w:val="004117E7"/>
    <w:rsid w:val="0041358B"/>
    <w:rsid w:val="004139F0"/>
    <w:rsid w:val="00413CAC"/>
    <w:rsid w:val="00413DD2"/>
    <w:rsid w:val="004161BE"/>
    <w:rsid w:val="00417779"/>
    <w:rsid w:val="00417A62"/>
    <w:rsid w:val="004207B8"/>
    <w:rsid w:val="00420FD1"/>
    <w:rsid w:val="0042104C"/>
    <w:rsid w:val="00421A05"/>
    <w:rsid w:val="004235A3"/>
    <w:rsid w:val="00423858"/>
    <w:rsid w:val="00424C84"/>
    <w:rsid w:val="00424EEA"/>
    <w:rsid w:val="00424F99"/>
    <w:rsid w:val="00425881"/>
    <w:rsid w:val="00427AEE"/>
    <w:rsid w:val="00432E03"/>
    <w:rsid w:val="00435A5D"/>
    <w:rsid w:val="00435CE6"/>
    <w:rsid w:val="0043683F"/>
    <w:rsid w:val="00436D24"/>
    <w:rsid w:val="00440801"/>
    <w:rsid w:val="0044315C"/>
    <w:rsid w:val="00443690"/>
    <w:rsid w:val="00443762"/>
    <w:rsid w:val="004438D5"/>
    <w:rsid w:val="00443F9E"/>
    <w:rsid w:val="00446199"/>
    <w:rsid w:val="00452340"/>
    <w:rsid w:val="004526CC"/>
    <w:rsid w:val="00452FC0"/>
    <w:rsid w:val="00453710"/>
    <w:rsid w:val="00454915"/>
    <w:rsid w:val="0045579A"/>
    <w:rsid w:val="00456D07"/>
    <w:rsid w:val="0045728F"/>
    <w:rsid w:val="00462678"/>
    <w:rsid w:val="00462E5E"/>
    <w:rsid w:val="00462FEC"/>
    <w:rsid w:val="0046455A"/>
    <w:rsid w:val="00464631"/>
    <w:rsid w:val="00464EAB"/>
    <w:rsid w:val="00465ADE"/>
    <w:rsid w:val="00472F69"/>
    <w:rsid w:val="004742C1"/>
    <w:rsid w:val="004755B8"/>
    <w:rsid w:val="00475DCB"/>
    <w:rsid w:val="00476E90"/>
    <w:rsid w:val="004775DA"/>
    <w:rsid w:val="004800C4"/>
    <w:rsid w:val="00480306"/>
    <w:rsid w:val="0048075D"/>
    <w:rsid w:val="004807F2"/>
    <w:rsid w:val="00481DD6"/>
    <w:rsid w:val="004841F9"/>
    <w:rsid w:val="00484D8E"/>
    <w:rsid w:val="00492D0F"/>
    <w:rsid w:val="004940FA"/>
    <w:rsid w:val="004946A2"/>
    <w:rsid w:val="00496FB5"/>
    <w:rsid w:val="004A11F7"/>
    <w:rsid w:val="004A1986"/>
    <w:rsid w:val="004A1A97"/>
    <w:rsid w:val="004A447F"/>
    <w:rsid w:val="004A522C"/>
    <w:rsid w:val="004A66A0"/>
    <w:rsid w:val="004A7B06"/>
    <w:rsid w:val="004B055B"/>
    <w:rsid w:val="004B1FC6"/>
    <w:rsid w:val="004B2EB1"/>
    <w:rsid w:val="004B4104"/>
    <w:rsid w:val="004B42E3"/>
    <w:rsid w:val="004C0FA6"/>
    <w:rsid w:val="004C1DBA"/>
    <w:rsid w:val="004C40BA"/>
    <w:rsid w:val="004C4B86"/>
    <w:rsid w:val="004C4F86"/>
    <w:rsid w:val="004C6721"/>
    <w:rsid w:val="004D0CB4"/>
    <w:rsid w:val="004D15E0"/>
    <w:rsid w:val="004D4F43"/>
    <w:rsid w:val="004D55D1"/>
    <w:rsid w:val="004D61BC"/>
    <w:rsid w:val="004D6C82"/>
    <w:rsid w:val="004E02C5"/>
    <w:rsid w:val="004E07D8"/>
    <w:rsid w:val="004E0BA6"/>
    <w:rsid w:val="004E1AFB"/>
    <w:rsid w:val="004E2B59"/>
    <w:rsid w:val="004E2F24"/>
    <w:rsid w:val="004E3099"/>
    <w:rsid w:val="004E4AD0"/>
    <w:rsid w:val="004E5771"/>
    <w:rsid w:val="004E6500"/>
    <w:rsid w:val="004E68DE"/>
    <w:rsid w:val="004E6C32"/>
    <w:rsid w:val="004E755E"/>
    <w:rsid w:val="004F0FDE"/>
    <w:rsid w:val="004F165A"/>
    <w:rsid w:val="004F1872"/>
    <w:rsid w:val="004F578D"/>
    <w:rsid w:val="004F7488"/>
    <w:rsid w:val="00500594"/>
    <w:rsid w:val="00500B91"/>
    <w:rsid w:val="005044EC"/>
    <w:rsid w:val="0050648E"/>
    <w:rsid w:val="005118B6"/>
    <w:rsid w:val="005131C0"/>
    <w:rsid w:val="00515331"/>
    <w:rsid w:val="00520A23"/>
    <w:rsid w:val="00521689"/>
    <w:rsid w:val="0052203A"/>
    <w:rsid w:val="00522AB6"/>
    <w:rsid w:val="00523165"/>
    <w:rsid w:val="005243E3"/>
    <w:rsid w:val="00527ABD"/>
    <w:rsid w:val="00530403"/>
    <w:rsid w:val="005305E9"/>
    <w:rsid w:val="00530849"/>
    <w:rsid w:val="00530EA1"/>
    <w:rsid w:val="00531D06"/>
    <w:rsid w:val="00532668"/>
    <w:rsid w:val="005327FF"/>
    <w:rsid w:val="00537C06"/>
    <w:rsid w:val="00537CBD"/>
    <w:rsid w:val="005429B5"/>
    <w:rsid w:val="005433B8"/>
    <w:rsid w:val="005469E4"/>
    <w:rsid w:val="00547AE1"/>
    <w:rsid w:val="00551AE2"/>
    <w:rsid w:val="00551B11"/>
    <w:rsid w:val="0055248C"/>
    <w:rsid w:val="0055409B"/>
    <w:rsid w:val="00554B99"/>
    <w:rsid w:val="005558E4"/>
    <w:rsid w:val="00557959"/>
    <w:rsid w:val="00561878"/>
    <w:rsid w:val="005663BE"/>
    <w:rsid w:val="005671FA"/>
    <w:rsid w:val="005718B4"/>
    <w:rsid w:val="00572214"/>
    <w:rsid w:val="00572E4A"/>
    <w:rsid w:val="005730E1"/>
    <w:rsid w:val="005753D7"/>
    <w:rsid w:val="00577848"/>
    <w:rsid w:val="00580F02"/>
    <w:rsid w:val="00581B3E"/>
    <w:rsid w:val="00582E3A"/>
    <w:rsid w:val="00587EDC"/>
    <w:rsid w:val="005901BA"/>
    <w:rsid w:val="00592EFC"/>
    <w:rsid w:val="00594062"/>
    <w:rsid w:val="00594B30"/>
    <w:rsid w:val="00595080"/>
    <w:rsid w:val="0059579B"/>
    <w:rsid w:val="00595A9E"/>
    <w:rsid w:val="005973BC"/>
    <w:rsid w:val="005A0910"/>
    <w:rsid w:val="005A187F"/>
    <w:rsid w:val="005A283A"/>
    <w:rsid w:val="005A3EBC"/>
    <w:rsid w:val="005A4892"/>
    <w:rsid w:val="005A686E"/>
    <w:rsid w:val="005A7180"/>
    <w:rsid w:val="005A78AC"/>
    <w:rsid w:val="005B0DD9"/>
    <w:rsid w:val="005B18C2"/>
    <w:rsid w:val="005B2800"/>
    <w:rsid w:val="005B4035"/>
    <w:rsid w:val="005B73C6"/>
    <w:rsid w:val="005C09B7"/>
    <w:rsid w:val="005C1A3F"/>
    <w:rsid w:val="005C1E07"/>
    <w:rsid w:val="005C3AF5"/>
    <w:rsid w:val="005D0522"/>
    <w:rsid w:val="005D0EF6"/>
    <w:rsid w:val="005D1493"/>
    <w:rsid w:val="005D3416"/>
    <w:rsid w:val="005D3F09"/>
    <w:rsid w:val="005D5EE3"/>
    <w:rsid w:val="005D60CC"/>
    <w:rsid w:val="005D631C"/>
    <w:rsid w:val="005D6806"/>
    <w:rsid w:val="005D6E94"/>
    <w:rsid w:val="005D7294"/>
    <w:rsid w:val="005D7BAA"/>
    <w:rsid w:val="005E1D74"/>
    <w:rsid w:val="005E2889"/>
    <w:rsid w:val="005E2C1E"/>
    <w:rsid w:val="005E2CF0"/>
    <w:rsid w:val="005E32AE"/>
    <w:rsid w:val="005E5272"/>
    <w:rsid w:val="005E5697"/>
    <w:rsid w:val="005E61E4"/>
    <w:rsid w:val="005E6802"/>
    <w:rsid w:val="005F02A3"/>
    <w:rsid w:val="005F0EFA"/>
    <w:rsid w:val="005F2C79"/>
    <w:rsid w:val="005F376A"/>
    <w:rsid w:val="005F423E"/>
    <w:rsid w:val="005F5701"/>
    <w:rsid w:val="005F6BF5"/>
    <w:rsid w:val="005F6DFE"/>
    <w:rsid w:val="005F7875"/>
    <w:rsid w:val="0060059F"/>
    <w:rsid w:val="00600662"/>
    <w:rsid w:val="00600678"/>
    <w:rsid w:val="006018BE"/>
    <w:rsid w:val="00603519"/>
    <w:rsid w:val="006047D8"/>
    <w:rsid w:val="006049D2"/>
    <w:rsid w:val="00606773"/>
    <w:rsid w:val="00607240"/>
    <w:rsid w:val="00607321"/>
    <w:rsid w:val="00607A07"/>
    <w:rsid w:val="0061003A"/>
    <w:rsid w:val="0061310A"/>
    <w:rsid w:val="006151B9"/>
    <w:rsid w:val="00615E46"/>
    <w:rsid w:val="00616C9A"/>
    <w:rsid w:val="00617E6A"/>
    <w:rsid w:val="006207B0"/>
    <w:rsid w:val="00621698"/>
    <w:rsid w:val="00622816"/>
    <w:rsid w:val="00624643"/>
    <w:rsid w:val="006248A6"/>
    <w:rsid w:val="00626983"/>
    <w:rsid w:val="006278B1"/>
    <w:rsid w:val="00627C83"/>
    <w:rsid w:val="006304B1"/>
    <w:rsid w:val="006304FA"/>
    <w:rsid w:val="0063353D"/>
    <w:rsid w:val="00635CA1"/>
    <w:rsid w:val="00640744"/>
    <w:rsid w:val="00640A64"/>
    <w:rsid w:val="00642254"/>
    <w:rsid w:val="00644499"/>
    <w:rsid w:val="00645C14"/>
    <w:rsid w:val="00645D77"/>
    <w:rsid w:val="0064652C"/>
    <w:rsid w:val="0064679A"/>
    <w:rsid w:val="00651592"/>
    <w:rsid w:val="00652A30"/>
    <w:rsid w:val="0065540C"/>
    <w:rsid w:val="006578D0"/>
    <w:rsid w:val="00657B66"/>
    <w:rsid w:val="00661637"/>
    <w:rsid w:val="00662D5B"/>
    <w:rsid w:val="0066449B"/>
    <w:rsid w:val="00666410"/>
    <w:rsid w:val="006701AE"/>
    <w:rsid w:val="00670EE6"/>
    <w:rsid w:val="00673327"/>
    <w:rsid w:val="00673497"/>
    <w:rsid w:val="00675AC8"/>
    <w:rsid w:val="00675FCD"/>
    <w:rsid w:val="00681E3B"/>
    <w:rsid w:val="006842B7"/>
    <w:rsid w:val="00684431"/>
    <w:rsid w:val="00684677"/>
    <w:rsid w:val="00685DE1"/>
    <w:rsid w:val="00690494"/>
    <w:rsid w:val="00691F34"/>
    <w:rsid w:val="0069271A"/>
    <w:rsid w:val="006971B8"/>
    <w:rsid w:val="00697C15"/>
    <w:rsid w:val="006A0D6B"/>
    <w:rsid w:val="006A2DCE"/>
    <w:rsid w:val="006A4309"/>
    <w:rsid w:val="006A62F9"/>
    <w:rsid w:val="006B25A8"/>
    <w:rsid w:val="006B2E2C"/>
    <w:rsid w:val="006B32F5"/>
    <w:rsid w:val="006B3F34"/>
    <w:rsid w:val="006B7DDF"/>
    <w:rsid w:val="006B7F2D"/>
    <w:rsid w:val="006C1344"/>
    <w:rsid w:val="006C14E1"/>
    <w:rsid w:val="006C227F"/>
    <w:rsid w:val="006C3412"/>
    <w:rsid w:val="006C3C1A"/>
    <w:rsid w:val="006C4A0E"/>
    <w:rsid w:val="006C511D"/>
    <w:rsid w:val="006C7255"/>
    <w:rsid w:val="006D1619"/>
    <w:rsid w:val="006D306D"/>
    <w:rsid w:val="006D332E"/>
    <w:rsid w:val="006D450A"/>
    <w:rsid w:val="006D5F00"/>
    <w:rsid w:val="006D7E2E"/>
    <w:rsid w:val="006E0BA3"/>
    <w:rsid w:val="006E0C81"/>
    <w:rsid w:val="006E0D0C"/>
    <w:rsid w:val="006E201C"/>
    <w:rsid w:val="006E359E"/>
    <w:rsid w:val="006E7097"/>
    <w:rsid w:val="006E7523"/>
    <w:rsid w:val="006F043A"/>
    <w:rsid w:val="006F1CAC"/>
    <w:rsid w:val="006F435B"/>
    <w:rsid w:val="006F67AA"/>
    <w:rsid w:val="006F72E8"/>
    <w:rsid w:val="00700731"/>
    <w:rsid w:val="00700E71"/>
    <w:rsid w:val="00702720"/>
    <w:rsid w:val="0070528A"/>
    <w:rsid w:val="00705662"/>
    <w:rsid w:val="00707A8C"/>
    <w:rsid w:val="00707CDF"/>
    <w:rsid w:val="00712109"/>
    <w:rsid w:val="007130D6"/>
    <w:rsid w:val="0071502D"/>
    <w:rsid w:val="00715549"/>
    <w:rsid w:val="00716661"/>
    <w:rsid w:val="007166A2"/>
    <w:rsid w:val="00716F21"/>
    <w:rsid w:val="00717BCA"/>
    <w:rsid w:val="007204ED"/>
    <w:rsid w:val="00721264"/>
    <w:rsid w:val="00721974"/>
    <w:rsid w:val="00723086"/>
    <w:rsid w:val="00723489"/>
    <w:rsid w:val="00723D15"/>
    <w:rsid w:val="00725AB6"/>
    <w:rsid w:val="00726332"/>
    <w:rsid w:val="00726721"/>
    <w:rsid w:val="00734184"/>
    <w:rsid w:val="0073470B"/>
    <w:rsid w:val="00734A79"/>
    <w:rsid w:val="00735E53"/>
    <w:rsid w:val="007403B2"/>
    <w:rsid w:val="00740FC5"/>
    <w:rsid w:val="007410F2"/>
    <w:rsid w:val="007423F3"/>
    <w:rsid w:val="007435C1"/>
    <w:rsid w:val="007439D1"/>
    <w:rsid w:val="00743C72"/>
    <w:rsid w:val="007441C0"/>
    <w:rsid w:val="00744BDA"/>
    <w:rsid w:val="00744F0F"/>
    <w:rsid w:val="00745106"/>
    <w:rsid w:val="007467D3"/>
    <w:rsid w:val="00750E14"/>
    <w:rsid w:val="007514A8"/>
    <w:rsid w:val="007521AE"/>
    <w:rsid w:val="0075425A"/>
    <w:rsid w:val="00760A21"/>
    <w:rsid w:val="00760D30"/>
    <w:rsid w:val="00762878"/>
    <w:rsid w:val="00763729"/>
    <w:rsid w:val="00763E8C"/>
    <w:rsid w:val="007640AE"/>
    <w:rsid w:val="00767258"/>
    <w:rsid w:val="00771807"/>
    <w:rsid w:val="00771D50"/>
    <w:rsid w:val="00773E86"/>
    <w:rsid w:val="00774E80"/>
    <w:rsid w:val="007751D9"/>
    <w:rsid w:val="00775588"/>
    <w:rsid w:val="007763E2"/>
    <w:rsid w:val="00780510"/>
    <w:rsid w:val="0078081C"/>
    <w:rsid w:val="007809E3"/>
    <w:rsid w:val="00780C2D"/>
    <w:rsid w:val="0078344A"/>
    <w:rsid w:val="00784027"/>
    <w:rsid w:val="00784602"/>
    <w:rsid w:val="00784BB8"/>
    <w:rsid w:val="00791533"/>
    <w:rsid w:val="00791AFA"/>
    <w:rsid w:val="0079216E"/>
    <w:rsid w:val="00792C56"/>
    <w:rsid w:val="00793BFA"/>
    <w:rsid w:val="0079412E"/>
    <w:rsid w:val="007941D7"/>
    <w:rsid w:val="00795624"/>
    <w:rsid w:val="007965C9"/>
    <w:rsid w:val="00796A8E"/>
    <w:rsid w:val="007A06E3"/>
    <w:rsid w:val="007A1D59"/>
    <w:rsid w:val="007A246F"/>
    <w:rsid w:val="007A3227"/>
    <w:rsid w:val="007A4B80"/>
    <w:rsid w:val="007A57E3"/>
    <w:rsid w:val="007A5B09"/>
    <w:rsid w:val="007B27EE"/>
    <w:rsid w:val="007B39DD"/>
    <w:rsid w:val="007C0543"/>
    <w:rsid w:val="007C102B"/>
    <w:rsid w:val="007C2B09"/>
    <w:rsid w:val="007C5FBC"/>
    <w:rsid w:val="007D059E"/>
    <w:rsid w:val="007D5061"/>
    <w:rsid w:val="007D5F6E"/>
    <w:rsid w:val="007E1412"/>
    <w:rsid w:val="007E1B40"/>
    <w:rsid w:val="007F2AC6"/>
    <w:rsid w:val="007F38C9"/>
    <w:rsid w:val="007F4A9E"/>
    <w:rsid w:val="007F4AF1"/>
    <w:rsid w:val="007F4D11"/>
    <w:rsid w:val="00800F97"/>
    <w:rsid w:val="0080481D"/>
    <w:rsid w:val="00804969"/>
    <w:rsid w:val="008069CF"/>
    <w:rsid w:val="00807E5F"/>
    <w:rsid w:val="008103C9"/>
    <w:rsid w:val="0081119A"/>
    <w:rsid w:val="00811F92"/>
    <w:rsid w:val="0081283A"/>
    <w:rsid w:val="008128E0"/>
    <w:rsid w:val="008134B2"/>
    <w:rsid w:val="00814635"/>
    <w:rsid w:val="008146C7"/>
    <w:rsid w:val="00815747"/>
    <w:rsid w:val="0081639F"/>
    <w:rsid w:val="008202BD"/>
    <w:rsid w:val="00821F2B"/>
    <w:rsid w:val="00822155"/>
    <w:rsid w:val="008230FF"/>
    <w:rsid w:val="00824C50"/>
    <w:rsid w:val="00827947"/>
    <w:rsid w:val="0083385D"/>
    <w:rsid w:val="00834AC1"/>
    <w:rsid w:val="00835A29"/>
    <w:rsid w:val="008361D3"/>
    <w:rsid w:val="00836F40"/>
    <w:rsid w:val="00837022"/>
    <w:rsid w:val="008415CD"/>
    <w:rsid w:val="0084352B"/>
    <w:rsid w:val="00846874"/>
    <w:rsid w:val="00847467"/>
    <w:rsid w:val="00847F67"/>
    <w:rsid w:val="008518CD"/>
    <w:rsid w:val="008520B1"/>
    <w:rsid w:val="00855A96"/>
    <w:rsid w:val="00855C65"/>
    <w:rsid w:val="0085710A"/>
    <w:rsid w:val="008577AA"/>
    <w:rsid w:val="00861EBA"/>
    <w:rsid w:val="0086393A"/>
    <w:rsid w:val="0086446C"/>
    <w:rsid w:val="00866077"/>
    <w:rsid w:val="00866583"/>
    <w:rsid w:val="00866C27"/>
    <w:rsid w:val="00867DE6"/>
    <w:rsid w:val="0087083F"/>
    <w:rsid w:val="00873257"/>
    <w:rsid w:val="00874388"/>
    <w:rsid w:val="00875B6C"/>
    <w:rsid w:val="00875CCC"/>
    <w:rsid w:val="0087639C"/>
    <w:rsid w:val="00877816"/>
    <w:rsid w:val="00877B2B"/>
    <w:rsid w:val="008801EC"/>
    <w:rsid w:val="00881796"/>
    <w:rsid w:val="00882C3A"/>
    <w:rsid w:val="008847C0"/>
    <w:rsid w:val="0088666B"/>
    <w:rsid w:val="00886767"/>
    <w:rsid w:val="00886877"/>
    <w:rsid w:val="00887DB9"/>
    <w:rsid w:val="00890E76"/>
    <w:rsid w:val="00891B57"/>
    <w:rsid w:val="00894680"/>
    <w:rsid w:val="00894B8C"/>
    <w:rsid w:val="00896816"/>
    <w:rsid w:val="00896959"/>
    <w:rsid w:val="008A2157"/>
    <w:rsid w:val="008A35B2"/>
    <w:rsid w:val="008A375D"/>
    <w:rsid w:val="008A51F3"/>
    <w:rsid w:val="008A6761"/>
    <w:rsid w:val="008A6BAC"/>
    <w:rsid w:val="008A6C97"/>
    <w:rsid w:val="008A712F"/>
    <w:rsid w:val="008A74EF"/>
    <w:rsid w:val="008B29D9"/>
    <w:rsid w:val="008B2E6E"/>
    <w:rsid w:val="008B61B4"/>
    <w:rsid w:val="008B6A7C"/>
    <w:rsid w:val="008B79E8"/>
    <w:rsid w:val="008C063F"/>
    <w:rsid w:val="008C12B5"/>
    <w:rsid w:val="008C15F4"/>
    <w:rsid w:val="008C1FDB"/>
    <w:rsid w:val="008C3196"/>
    <w:rsid w:val="008C7161"/>
    <w:rsid w:val="008D0162"/>
    <w:rsid w:val="008D12C0"/>
    <w:rsid w:val="008D4433"/>
    <w:rsid w:val="008D4AC9"/>
    <w:rsid w:val="008D60B6"/>
    <w:rsid w:val="008E0175"/>
    <w:rsid w:val="008E05C9"/>
    <w:rsid w:val="008E0EEF"/>
    <w:rsid w:val="008E2815"/>
    <w:rsid w:val="008E58AA"/>
    <w:rsid w:val="008E5C59"/>
    <w:rsid w:val="008E674E"/>
    <w:rsid w:val="008E75D6"/>
    <w:rsid w:val="008E7BC5"/>
    <w:rsid w:val="008E7D85"/>
    <w:rsid w:val="008F0A20"/>
    <w:rsid w:val="008F0D12"/>
    <w:rsid w:val="008F11D7"/>
    <w:rsid w:val="008F2C4F"/>
    <w:rsid w:val="008F32E1"/>
    <w:rsid w:val="008F3443"/>
    <w:rsid w:val="008F3874"/>
    <w:rsid w:val="008F4F2B"/>
    <w:rsid w:val="008F6AFF"/>
    <w:rsid w:val="008F70CB"/>
    <w:rsid w:val="00900011"/>
    <w:rsid w:val="0090496F"/>
    <w:rsid w:val="009053C4"/>
    <w:rsid w:val="009060B0"/>
    <w:rsid w:val="00906F4F"/>
    <w:rsid w:val="00907865"/>
    <w:rsid w:val="00910404"/>
    <w:rsid w:val="0091157A"/>
    <w:rsid w:val="00911ACC"/>
    <w:rsid w:val="00912B57"/>
    <w:rsid w:val="00913AEC"/>
    <w:rsid w:val="00914037"/>
    <w:rsid w:val="0091454B"/>
    <w:rsid w:val="009178AD"/>
    <w:rsid w:val="00920908"/>
    <w:rsid w:val="009217BE"/>
    <w:rsid w:val="009231FD"/>
    <w:rsid w:val="009239BA"/>
    <w:rsid w:val="00924044"/>
    <w:rsid w:val="0092462C"/>
    <w:rsid w:val="00925940"/>
    <w:rsid w:val="00926350"/>
    <w:rsid w:val="009270BF"/>
    <w:rsid w:val="00931DAB"/>
    <w:rsid w:val="00931FC4"/>
    <w:rsid w:val="00932C8F"/>
    <w:rsid w:val="0093375A"/>
    <w:rsid w:val="009357D8"/>
    <w:rsid w:val="009366D6"/>
    <w:rsid w:val="00936953"/>
    <w:rsid w:val="00937F5B"/>
    <w:rsid w:val="00940E72"/>
    <w:rsid w:val="00942662"/>
    <w:rsid w:val="0094336E"/>
    <w:rsid w:val="00943C36"/>
    <w:rsid w:val="00944CC7"/>
    <w:rsid w:val="0094501A"/>
    <w:rsid w:val="00945396"/>
    <w:rsid w:val="00945856"/>
    <w:rsid w:val="00945997"/>
    <w:rsid w:val="00950313"/>
    <w:rsid w:val="00950A1B"/>
    <w:rsid w:val="00950F35"/>
    <w:rsid w:val="00951148"/>
    <w:rsid w:val="0095178F"/>
    <w:rsid w:val="009524F8"/>
    <w:rsid w:val="00954A6D"/>
    <w:rsid w:val="00954A97"/>
    <w:rsid w:val="00954BA6"/>
    <w:rsid w:val="00954C41"/>
    <w:rsid w:val="00955C8A"/>
    <w:rsid w:val="00955E00"/>
    <w:rsid w:val="00956043"/>
    <w:rsid w:val="009564D1"/>
    <w:rsid w:val="0096110C"/>
    <w:rsid w:val="00963615"/>
    <w:rsid w:val="00964AF7"/>
    <w:rsid w:val="00964CE8"/>
    <w:rsid w:val="00965270"/>
    <w:rsid w:val="009653D5"/>
    <w:rsid w:val="0096553B"/>
    <w:rsid w:val="00967E56"/>
    <w:rsid w:val="00970DC7"/>
    <w:rsid w:val="00971356"/>
    <w:rsid w:val="0097157B"/>
    <w:rsid w:val="00972C35"/>
    <w:rsid w:val="00973E5E"/>
    <w:rsid w:val="00974CCC"/>
    <w:rsid w:val="00976C10"/>
    <w:rsid w:val="00977A1C"/>
    <w:rsid w:val="00981AB9"/>
    <w:rsid w:val="00981F25"/>
    <w:rsid w:val="009836FD"/>
    <w:rsid w:val="00983D4F"/>
    <w:rsid w:val="009866F4"/>
    <w:rsid w:val="009914DB"/>
    <w:rsid w:val="00992445"/>
    <w:rsid w:val="009929DD"/>
    <w:rsid w:val="009954BA"/>
    <w:rsid w:val="00995CA5"/>
    <w:rsid w:val="00997DDD"/>
    <w:rsid w:val="009A01C1"/>
    <w:rsid w:val="009A15BB"/>
    <w:rsid w:val="009A1BF2"/>
    <w:rsid w:val="009A2098"/>
    <w:rsid w:val="009A2419"/>
    <w:rsid w:val="009A2FAC"/>
    <w:rsid w:val="009A3639"/>
    <w:rsid w:val="009A3A8A"/>
    <w:rsid w:val="009A4A0F"/>
    <w:rsid w:val="009A7522"/>
    <w:rsid w:val="009A76D0"/>
    <w:rsid w:val="009B005B"/>
    <w:rsid w:val="009B0752"/>
    <w:rsid w:val="009B1153"/>
    <w:rsid w:val="009B1EA0"/>
    <w:rsid w:val="009B241F"/>
    <w:rsid w:val="009B29C2"/>
    <w:rsid w:val="009B6B0B"/>
    <w:rsid w:val="009B6BEA"/>
    <w:rsid w:val="009B6C7C"/>
    <w:rsid w:val="009B79B6"/>
    <w:rsid w:val="009B7D7C"/>
    <w:rsid w:val="009C1E6B"/>
    <w:rsid w:val="009C20F6"/>
    <w:rsid w:val="009C28CE"/>
    <w:rsid w:val="009C2BCF"/>
    <w:rsid w:val="009C39EF"/>
    <w:rsid w:val="009C5A6B"/>
    <w:rsid w:val="009C62EA"/>
    <w:rsid w:val="009C704F"/>
    <w:rsid w:val="009D045B"/>
    <w:rsid w:val="009D0DFB"/>
    <w:rsid w:val="009D2B21"/>
    <w:rsid w:val="009D3078"/>
    <w:rsid w:val="009D3E98"/>
    <w:rsid w:val="009D4031"/>
    <w:rsid w:val="009E0D01"/>
    <w:rsid w:val="009E14FB"/>
    <w:rsid w:val="009F28A3"/>
    <w:rsid w:val="009F2A9E"/>
    <w:rsid w:val="009F386B"/>
    <w:rsid w:val="009F497A"/>
    <w:rsid w:val="009F51AC"/>
    <w:rsid w:val="009F5E08"/>
    <w:rsid w:val="009F79A5"/>
    <w:rsid w:val="00A001C4"/>
    <w:rsid w:val="00A05E25"/>
    <w:rsid w:val="00A05E55"/>
    <w:rsid w:val="00A07863"/>
    <w:rsid w:val="00A11426"/>
    <w:rsid w:val="00A11554"/>
    <w:rsid w:val="00A14351"/>
    <w:rsid w:val="00A14C2C"/>
    <w:rsid w:val="00A15177"/>
    <w:rsid w:val="00A15D7E"/>
    <w:rsid w:val="00A17FFE"/>
    <w:rsid w:val="00A20A9E"/>
    <w:rsid w:val="00A210B4"/>
    <w:rsid w:val="00A217D6"/>
    <w:rsid w:val="00A21934"/>
    <w:rsid w:val="00A254DB"/>
    <w:rsid w:val="00A25D42"/>
    <w:rsid w:val="00A30620"/>
    <w:rsid w:val="00A3247E"/>
    <w:rsid w:val="00A3248E"/>
    <w:rsid w:val="00A33394"/>
    <w:rsid w:val="00A33F62"/>
    <w:rsid w:val="00A369FF"/>
    <w:rsid w:val="00A36CD1"/>
    <w:rsid w:val="00A40828"/>
    <w:rsid w:val="00A41045"/>
    <w:rsid w:val="00A41EAA"/>
    <w:rsid w:val="00A43F55"/>
    <w:rsid w:val="00A44256"/>
    <w:rsid w:val="00A45C01"/>
    <w:rsid w:val="00A465D7"/>
    <w:rsid w:val="00A479A8"/>
    <w:rsid w:val="00A530A7"/>
    <w:rsid w:val="00A54F6D"/>
    <w:rsid w:val="00A5564D"/>
    <w:rsid w:val="00A56A90"/>
    <w:rsid w:val="00A57360"/>
    <w:rsid w:val="00A60E9B"/>
    <w:rsid w:val="00A612AB"/>
    <w:rsid w:val="00A61902"/>
    <w:rsid w:val="00A63D70"/>
    <w:rsid w:val="00A646DB"/>
    <w:rsid w:val="00A64BC8"/>
    <w:rsid w:val="00A6638D"/>
    <w:rsid w:val="00A669B8"/>
    <w:rsid w:val="00A67390"/>
    <w:rsid w:val="00A74521"/>
    <w:rsid w:val="00A74A43"/>
    <w:rsid w:val="00A762EC"/>
    <w:rsid w:val="00A819F3"/>
    <w:rsid w:val="00A83520"/>
    <w:rsid w:val="00A86303"/>
    <w:rsid w:val="00A867EB"/>
    <w:rsid w:val="00A874F5"/>
    <w:rsid w:val="00A90884"/>
    <w:rsid w:val="00A92638"/>
    <w:rsid w:val="00A9306F"/>
    <w:rsid w:val="00A9308D"/>
    <w:rsid w:val="00A9365D"/>
    <w:rsid w:val="00A93E6D"/>
    <w:rsid w:val="00A9431F"/>
    <w:rsid w:val="00A96C33"/>
    <w:rsid w:val="00A97881"/>
    <w:rsid w:val="00AA5446"/>
    <w:rsid w:val="00AB015B"/>
    <w:rsid w:val="00AB1CDD"/>
    <w:rsid w:val="00AB2E74"/>
    <w:rsid w:val="00AB350E"/>
    <w:rsid w:val="00AB5604"/>
    <w:rsid w:val="00AB5AA9"/>
    <w:rsid w:val="00AB6A6A"/>
    <w:rsid w:val="00AB7684"/>
    <w:rsid w:val="00AC0B83"/>
    <w:rsid w:val="00AC5D4F"/>
    <w:rsid w:val="00AC5E5D"/>
    <w:rsid w:val="00AD0EF9"/>
    <w:rsid w:val="00AD1211"/>
    <w:rsid w:val="00AD2E28"/>
    <w:rsid w:val="00AD3158"/>
    <w:rsid w:val="00AD3A72"/>
    <w:rsid w:val="00AD58F7"/>
    <w:rsid w:val="00AD7066"/>
    <w:rsid w:val="00AE03BE"/>
    <w:rsid w:val="00AE0DC6"/>
    <w:rsid w:val="00AE1913"/>
    <w:rsid w:val="00AE457E"/>
    <w:rsid w:val="00AE4CB1"/>
    <w:rsid w:val="00AF121D"/>
    <w:rsid w:val="00AF1754"/>
    <w:rsid w:val="00AF1C0F"/>
    <w:rsid w:val="00AF1C84"/>
    <w:rsid w:val="00AF2AB3"/>
    <w:rsid w:val="00B002F0"/>
    <w:rsid w:val="00B006D6"/>
    <w:rsid w:val="00B02C68"/>
    <w:rsid w:val="00B03096"/>
    <w:rsid w:val="00B03AA8"/>
    <w:rsid w:val="00B04539"/>
    <w:rsid w:val="00B04BC6"/>
    <w:rsid w:val="00B067AA"/>
    <w:rsid w:val="00B06B41"/>
    <w:rsid w:val="00B10570"/>
    <w:rsid w:val="00B10765"/>
    <w:rsid w:val="00B108A9"/>
    <w:rsid w:val="00B10FCA"/>
    <w:rsid w:val="00B11F3E"/>
    <w:rsid w:val="00B121C4"/>
    <w:rsid w:val="00B1392C"/>
    <w:rsid w:val="00B20661"/>
    <w:rsid w:val="00B21603"/>
    <w:rsid w:val="00B217FF"/>
    <w:rsid w:val="00B21F5B"/>
    <w:rsid w:val="00B22FF4"/>
    <w:rsid w:val="00B23047"/>
    <w:rsid w:val="00B24151"/>
    <w:rsid w:val="00B24977"/>
    <w:rsid w:val="00B24CCF"/>
    <w:rsid w:val="00B251F9"/>
    <w:rsid w:val="00B26229"/>
    <w:rsid w:val="00B3018E"/>
    <w:rsid w:val="00B307B5"/>
    <w:rsid w:val="00B30BDF"/>
    <w:rsid w:val="00B311C1"/>
    <w:rsid w:val="00B3152B"/>
    <w:rsid w:val="00B31916"/>
    <w:rsid w:val="00B31E51"/>
    <w:rsid w:val="00B32472"/>
    <w:rsid w:val="00B33C06"/>
    <w:rsid w:val="00B424E0"/>
    <w:rsid w:val="00B432AB"/>
    <w:rsid w:val="00B439F1"/>
    <w:rsid w:val="00B44EFA"/>
    <w:rsid w:val="00B45DC0"/>
    <w:rsid w:val="00B50C32"/>
    <w:rsid w:val="00B53B25"/>
    <w:rsid w:val="00B53DD0"/>
    <w:rsid w:val="00B54043"/>
    <w:rsid w:val="00B54BC2"/>
    <w:rsid w:val="00B579C0"/>
    <w:rsid w:val="00B60359"/>
    <w:rsid w:val="00B612BC"/>
    <w:rsid w:val="00B617D1"/>
    <w:rsid w:val="00B618D2"/>
    <w:rsid w:val="00B62369"/>
    <w:rsid w:val="00B6456E"/>
    <w:rsid w:val="00B65D2D"/>
    <w:rsid w:val="00B678F1"/>
    <w:rsid w:val="00B67F75"/>
    <w:rsid w:val="00B724B1"/>
    <w:rsid w:val="00B738B7"/>
    <w:rsid w:val="00B74F1D"/>
    <w:rsid w:val="00B75865"/>
    <w:rsid w:val="00B767EF"/>
    <w:rsid w:val="00B805A0"/>
    <w:rsid w:val="00B812E6"/>
    <w:rsid w:val="00B83F5B"/>
    <w:rsid w:val="00B87A7D"/>
    <w:rsid w:val="00B90A1A"/>
    <w:rsid w:val="00B90FDD"/>
    <w:rsid w:val="00B91185"/>
    <w:rsid w:val="00B925BD"/>
    <w:rsid w:val="00B92BF9"/>
    <w:rsid w:val="00B9380C"/>
    <w:rsid w:val="00B957C4"/>
    <w:rsid w:val="00B95AC4"/>
    <w:rsid w:val="00B97C50"/>
    <w:rsid w:val="00BA1B06"/>
    <w:rsid w:val="00BA2C11"/>
    <w:rsid w:val="00BA2D3A"/>
    <w:rsid w:val="00BA324F"/>
    <w:rsid w:val="00BA34C5"/>
    <w:rsid w:val="00BA394B"/>
    <w:rsid w:val="00BA4142"/>
    <w:rsid w:val="00BA4507"/>
    <w:rsid w:val="00BA4701"/>
    <w:rsid w:val="00BA5BEC"/>
    <w:rsid w:val="00BA7261"/>
    <w:rsid w:val="00BB06A5"/>
    <w:rsid w:val="00BB0788"/>
    <w:rsid w:val="00BB0D9C"/>
    <w:rsid w:val="00BB146C"/>
    <w:rsid w:val="00BB3B46"/>
    <w:rsid w:val="00BB5CEF"/>
    <w:rsid w:val="00BB6BFB"/>
    <w:rsid w:val="00BB6D61"/>
    <w:rsid w:val="00BB7A2A"/>
    <w:rsid w:val="00BB7C27"/>
    <w:rsid w:val="00BC17B1"/>
    <w:rsid w:val="00BC2282"/>
    <w:rsid w:val="00BC5A71"/>
    <w:rsid w:val="00BD1B88"/>
    <w:rsid w:val="00BD2B14"/>
    <w:rsid w:val="00BD2EBB"/>
    <w:rsid w:val="00BD2F1A"/>
    <w:rsid w:val="00BD4386"/>
    <w:rsid w:val="00BD636A"/>
    <w:rsid w:val="00BD7829"/>
    <w:rsid w:val="00BE05A3"/>
    <w:rsid w:val="00BE166C"/>
    <w:rsid w:val="00BE1B02"/>
    <w:rsid w:val="00BE2B34"/>
    <w:rsid w:val="00BE4CA4"/>
    <w:rsid w:val="00BE671D"/>
    <w:rsid w:val="00BE7D8D"/>
    <w:rsid w:val="00BF02D5"/>
    <w:rsid w:val="00BF2D94"/>
    <w:rsid w:val="00BF3B60"/>
    <w:rsid w:val="00BF48C2"/>
    <w:rsid w:val="00BF506E"/>
    <w:rsid w:val="00BF6361"/>
    <w:rsid w:val="00BF775B"/>
    <w:rsid w:val="00BF792B"/>
    <w:rsid w:val="00C00C49"/>
    <w:rsid w:val="00C01E3F"/>
    <w:rsid w:val="00C03A8F"/>
    <w:rsid w:val="00C04B05"/>
    <w:rsid w:val="00C058BB"/>
    <w:rsid w:val="00C05934"/>
    <w:rsid w:val="00C075D8"/>
    <w:rsid w:val="00C07850"/>
    <w:rsid w:val="00C10208"/>
    <w:rsid w:val="00C12893"/>
    <w:rsid w:val="00C14D38"/>
    <w:rsid w:val="00C1589C"/>
    <w:rsid w:val="00C16861"/>
    <w:rsid w:val="00C2029B"/>
    <w:rsid w:val="00C20DD6"/>
    <w:rsid w:val="00C21DBE"/>
    <w:rsid w:val="00C2223D"/>
    <w:rsid w:val="00C25EA5"/>
    <w:rsid w:val="00C26419"/>
    <w:rsid w:val="00C26726"/>
    <w:rsid w:val="00C30953"/>
    <w:rsid w:val="00C30A7F"/>
    <w:rsid w:val="00C3211D"/>
    <w:rsid w:val="00C3257D"/>
    <w:rsid w:val="00C327CB"/>
    <w:rsid w:val="00C35156"/>
    <w:rsid w:val="00C3527C"/>
    <w:rsid w:val="00C35890"/>
    <w:rsid w:val="00C3589E"/>
    <w:rsid w:val="00C3607A"/>
    <w:rsid w:val="00C36494"/>
    <w:rsid w:val="00C45ABC"/>
    <w:rsid w:val="00C45B02"/>
    <w:rsid w:val="00C45E5E"/>
    <w:rsid w:val="00C515B6"/>
    <w:rsid w:val="00C521F7"/>
    <w:rsid w:val="00C540B2"/>
    <w:rsid w:val="00C5523A"/>
    <w:rsid w:val="00C557AD"/>
    <w:rsid w:val="00C566B0"/>
    <w:rsid w:val="00C56BBD"/>
    <w:rsid w:val="00C57572"/>
    <w:rsid w:val="00C6133E"/>
    <w:rsid w:val="00C63B48"/>
    <w:rsid w:val="00C63CEB"/>
    <w:rsid w:val="00C65A25"/>
    <w:rsid w:val="00C65CEC"/>
    <w:rsid w:val="00C661F8"/>
    <w:rsid w:val="00C665AF"/>
    <w:rsid w:val="00C70854"/>
    <w:rsid w:val="00C712D4"/>
    <w:rsid w:val="00C73FC4"/>
    <w:rsid w:val="00C74905"/>
    <w:rsid w:val="00C7585F"/>
    <w:rsid w:val="00C75BFD"/>
    <w:rsid w:val="00C760A8"/>
    <w:rsid w:val="00C7614D"/>
    <w:rsid w:val="00C77B93"/>
    <w:rsid w:val="00C8013B"/>
    <w:rsid w:val="00C80246"/>
    <w:rsid w:val="00C80259"/>
    <w:rsid w:val="00C81B89"/>
    <w:rsid w:val="00C83299"/>
    <w:rsid w:val="00C83C63"/>
    <w:rsid w:val="00C85384"/>
    <w:rsid w:val="00C8690F"/>
    <w:rsid w:val="00C871ED"/>
    <w:rsid w:val="00C9016E"/>
    <w:rsid w:val="00C912B3"/>
    <w:rsid w:val="00C91B7E"/>
    <w:rsid w:val="00C931DF"/>
    <w:rsid w:val="00C9589E"/>
    <w:rsid w:val="00CA0ACC"/>
    <w:rsid w:val="00CA504C"/>
    <w:rsid w:val="00CA54DD"/>
    <w:rsid w:val="00CA5904"/>
    <w:rsid w:val="00CA6397"/>
    <w:rsid w:val="00CA6F68"/>
    <w:rsid w:val="00CB078E"/>
    <w:rsid w:val="00CB158F"/>
    <w:rsid w:val="00CB1CA8"/>
    <w:rsid w:val="00CB29F1"/>
    <w:rsid w:val="00CB363B"/>
    <w:rsid w:val="00CB3B77"/>
    <w:rsid w:val="00CB57CC"/>
    <w:rsid w:val="00CB5F7F"/>
    <w:rsid w:val="00CB64E4"/>
    <w:rsid w:val="00CB72A1"/>
    <w:rsid w:val="00CB7610"/>
    <w:rsid w:val="00CB7C99"/>
    <w:rsid w:val="00CB7D3B"/>
    <w:rsid w:val="00CC077A"/>
    <w:rsid w:val="00CC1AE2"/>
    <w:rsid w:val="00CC627C"/>
    <w:rsid w:val="00CC6D4E"/>
    <w:rsid w:val="00CC7D20"/>
    <w:rsid w:val="00CD18A1"/>
    <w:rsid w:val="00CD1B90"/>
    <w:rsid w:val="00CD27BE"/>
    <w:rsid w:val="00CD30C7"/>
    <w:rsid w:val="00CD3EC6"/>
    <w:rsid w:val="00CD3ED1"/>
    <w:rsid w:val="00CD4AB0"/>
    <w:rsid w:val="00CD4BFE"/>
    <w:rsid w:val="00CD6BEA"/>
    <w:rsid w:val="00CD7211"/>
    <w:rsid w:val="00CE020F"/>
    <w:rsid w:val="00CE0D22"/>
    <w:rsid w:val="00CE3A18"/>
    <w:rsid w:val="00CE3DA3"/>
    <w:rsid w:val="00CE3F59"/>
    <w:rsid w:val="00CE444A"/>
    <w:rsid w:val="00CE63DA"/>
    <w:rsid w:val="00CE6844"/>
    <w:rsid w:val="00CE6E62"/>
    <w:rsid w:val="00CF0171"/>
    <w:rsid w:val="00CF2483"/>
    <w:rsid w:val="00CF2A88"/>
    <w:rsid w:val="00CF3367"/>
    <w:rsid w:val="00CF4F68"/>
    <w:rsid w:val="00CF5353"/>
    <w:rsid w:val="00CF53BC"/>
    <w:rsid w:val="00D00591"/>
    <w:rsid w:val="00D00E4D"/>
    <w:rsid w:val="00D022D6"/>
    <w:rsid w:val="00D03128"/>
    <w:rsid w:val="00D037F4"/>
    <w:rsid w:val="00D038CA"/>
    <w:rsid w:val="00D0474A"/>
    <w:rsid w:val="00D07305"/>
    <w:rsid w:val="00D11EFC"/>
    <w:rsid w:val="00D1273B"/>
    <w:rsid w:val="00D14E2E"/>
    <w:rsid w:val="00D1599C"/>
    <w:rsid w:val="00D218D7"/>
    <w:rsid w:val="00D21CB9"/>
    <w:rsid w:val="00D21D21"/>
    <w:rsid w:val="00D22B58"/>
    <w:rsid w:val="00D2322E"/>
    <w:rsid w:val="00D24B15"/>
    <w:rsid w:val="00D24DBB"/>
    <w:rsid w:val="00D25CCD"/>
    <w:rsid w:val="00D278AB"/>
    <w:rsid w:val="00D3176D"/>
    <w:rsid w:val="00D3445B"/>
    <w:rsid w:val="00D34D8F"/>
    <w:rsid w:val="00D36244"/>
    <w:rsid w:val="00D365BB"/>
    <w:rsid w:val="00D41375"/>
    <w:rsid w:val="00D42E7B"/>
    <w:rsid w:val="00D46EDD"/>
    <w:rsid w:val="00D474EF"/>
    <w:rsid w:val="00D47730"/>
    <w:rsid w:val="00D51AFC"/>
    <w:rsid w:val="00D51B8D"/>
    <w:rsid w:val="00D5290C"/>
    <w:rsid w:val="00D529C5"/>
    <w:rsid w:val="00D53832"/>
    <w:rsid w:val="00D53AF1"/>
    <w:rsid w:val="00D54DF3"/>
    <w:rsid w:val="00D60D40"/>
    <w:rsid w:val="00D61023"/>
    <w:rsid w:val="00D61581"/>
    <w:rsid w:val="00D61BB0"/>
    <w:rsid w:val="00D6212C"/>
    <w:rsid w:val="00D62657"/>
    <w:rsid w:val="00D639C2"/>
    <w:rsid w:val="00D64F48"/>
    <w:rsid w:val="00D66E25"/>
    <w:rsid w:val="00D66E74"/>
    <w:rsid w:val="00D72A80"/>
    <w:rsid w:val="00D73D67"/>
    <w:rsid w:val="00D76669"/>
    <w:rsid w:val="00D77E02"/>
    <w:rsid w:val="00D808AA"/>
    <w:rsid w:val="00D82C98"/>
    <w:rsid w:val="00D8392C"/>
    <w:rsid w:val="00D83958"/>
    <w:rsid w:val="00D84F70"/>
    <w:rsid w:val="00D8548E"/>
    <w:rsid w:val="00D859E4"/>
    <w:rsid w:val="00D85C19"/>
    <w:rsid w:val="00D93656"/>
    <w:rsid w:val="00D94099"/>
    <w:rsid w:val="00D9470D"/>
    <w:rsid w:val="00D9482F"/>
    <w:rsid w:val="00D94B52"/>
    <w:rsid w:val="00D94E24"/>
    <w:rsid w:val="00D960A9"/>
    <w:rsid w:val="00D96878"/>
    <w:rsid w:val="00D96B15"/>
    <w:rsid w:val="00DA0BD5"/>
    <w:rsid w:val="00DA0EDC"/>
    <w:rsid w:val="00DA1DE5"/>
    <w:rsid w:val="00DA25A5"/>
    <w:rsid w:val="00DA338F"/>
    <w:rsid w:val="00DA3C3A"/>
    <w:rsid w:val="00DA46EE"/>
    <w:rsid w:val="00DA50E9"/>
    <w:rsid w:val="00DA686F"/>
    <w:rsid w:val="00DA6FA6"/>
    <w:rsid w:val="00DA7398"/>
    <w:rsid w:val="00DA7C99"/>
    <w:rsid w:val="00DB1199"/>
    <w:rsid w:val="00DB1912"/>
    <w:rsid w:val="00DB20DE"/>
    <w:rsid w:val="00DB3B3B"/>
    <w:rsid w:val="00DB5E8F"/>
    <w:rsid w:val="00DB69B6"/>
    <w:rsid w:val="00DB6BEF"/>
    <w:rsid w:val="00DC0F04"/>
    <w:rsid w:val="00DC1704"/>
    <w:rsid w:val="00DC458B"/>
    <w:rsid w:val="00DC4CA6"/>
    <w:rsid w:val="00DD25DA"/>
    <w:rsid w:val="00DD3211"/>
    <w:rsid w:val="00DD3E64"/>
    <w:rsid w:val="00DD3EEF"/>
    <w:rsid w:val="00DD4306"/>
    <w:rsid w:val="00DE0750"/>
    <w:rsid w:val="00DE2F70"/>
    <w:rsid w:val="00DE31DA"/>
    <w:rsid w:val="00DE4D0F"/>
    <w:rsid w:val="00DE65E5"/>
    <w:rsid w:val="00DF0AEC"/>
    <w:rsid w:val="00DF148C"/>
    <w:rsid w:val="00DF1ABF"/>
    <w:rsid w:val="00DF4593"/>
    <w:rsid w:val="00DF4A85"/>
    <w:rsid w:val="00DF7128"/>
    <w:rsid w:val="00E01595"/>
    <w:rsid w:val="00E02FD1"/>
    <w:rsid w:val="00E05E83"/>
    <w:rsid w:val="00E10A09"/>
    <w:rsid w:val="00E12531"/>
    <w:rsid w:val="00E13649"/>
    <w:rsid w:val="00E154B6"/>
    <w:rsid w:val="00E217C2"/>
    <w:rsid w:val="00E21EAD"/>
    <w:rsid w:val="00E23CF4"/>
    <w:rsid w:val="00E25754"/>
    <w:rsid w:val="00E26EEE"/>
    <w:rsid w:val="00E27578"/>
    <w:rsid w:val="00E3026C"/>
    <w:rsid w:val="00E3263D"/>
    <w:rsid w:val="00E34295"/>
    <w:rsid w:val="00E343D9"/>
    <w:rsid w:val="00E373FD"/>
    <w:rsid w:val="00E37D04"/>
    <w:rsid w:val="00E41DF1"/>
    <w:rsid w:val="00E43162"/>
    <w:rsid w:val="00E44C16"/>
    <w:rsid w:val="00E47249"/>
    <w:rsid w:val="00E51492"/>
    <w:rsid w:val="00E543BF"/>
    <w:rsid w:val="00E54760"/>
    <w:rsid w:val="00E5530D"/>
    <w:rsid w:val="00E559A9"/>
    <w:rsid w:val="00E60AB4"/>
    <w:rsid w:val="00E60F5E"/>
    <w:rsid w:val="00E655C7"/>
    <w:rsid w:val="00E65DE7"/>
    <w:rsid w:val="00E65EBA"/>
    <w:rsid w:val="00E674FC"/>
    <w:rsid w:val="00E70E49"/>
    <w:rsid w:val="00E739CE"/>
    <w:rsid w:val="00E77F61"/>
    <w:rsid w:val="00E77FC8"/>
    <w:rsid w:val="00E82CC2"/>
    <w:rsid w:val="00E832C2"/>
    <w:rsid w:val="00E84941"/>
    <w:rsid w:val="00E850D1"/>
    <w:rsid w:val="00E8534E"/>
    <w:rsid w:val="00E8567F"/>
    <w:rsid w:val="00E85CB4"/>
    <w:rsid w:val="00E872C9"/>
    <w:rsid w:val="00E90359"/>
    <w:rsid w:val="00E90B85"/>
    <w:rsid w:val="00E90E37"/>
    <w:rsid w:val="00E92567"/>
    <w:rsid w:val="00E92B37"/>
    <w:rsid w:val="00E9475C"/>
    <w:rsid w:val="00EA1EA1"/>
    <w:rsid w:val="00EA26B4"/>
    <w:rsid w:val="00EA2B7D"/>
    <w:rsid w:val="00EA2FF2"/>
    <w:rsid w:val="00EA30E4"/>
    <w:rsid w:val="00EA4571"/>
    <w:rsid w:val="00EA6038"/>
    <w:rsid w:val="00EB102A"/>
    <w:rsid w:val="00EB19C6"/>
    <w:rsid w:val="00EB441A"/>
    <w:rsid w:val="00EB4CAE"/>
    <w:rsid w:val="00EB56AA"/>
    <w:rsid w:val="00EB60E8"/>
    <w:rsid w:val="00EB7536"/>
    <w:rsid w:val="00EB7CD1"/>
    <w:rsid w:val="00EC00F3"/>
    <w:rsid w:val="00EC1AE5"/>
    <w:rsid w:val="00EC41E5"/>
    <w:rsid w:val="00EC4C32"/>
    <w:rsid w:val="00EC6871"/>
    <w:rsid w:val="00EC7E96"/>
    <w:rsid w:val="00ED125E"/>
    <w:rsid w:val="00ED3A98"/>
    <w:rsid w:val="00ED4AF0"/>
    <w:rsid w:val="00EE1DE8"/>
    <w:rsid w:val="00EE3A04"/>
    <w:rsid w:val="00EE5D2B"/>
    <w:rsid w:val="00EF0EB4"/>
    <w:rsid w:val="00EF1A4A"/>
    <w:rsid w:val="00EF1B52"/>
    <w:rsid w:val="00EF20DF"/>
    <w:rsid w:val="00EF3192"/>
    <w:rsid w:val="00EF4111"/>
    <w:rsid w:val="00EF41A2"/>
    <w:rsid w:val="00EF4CA2"/>
    <w:rsid w:val="00EF4EE7"/>
    <w:rsid w:val="00EF518B"/>
    <w:rsid w:val="00EF54CF"/>
    <w:rsid w:val="00EF576F"/>
    <w:rsid w:val="00EF6A43"/>
    <w:rsid w:val="00EF6B45"/>
    <w:rsid w:val="00EF6F13"/>
    <w:rsid w:val="00F00CC4"/>
    <w:rsid w:val="00F012EE"/>
    <w:rsid w:val="00F0203E"/>
    <w:rsid w:val="00F029CF"/>
    <w:rsid w:val="00F04749"/>
    <w:rsid w:val="00F04905"/>
    <w:rsid w:val="00F0503C"/>
    <w:rsid w:val="00F05189"/>
    <w:rsid w:val="00F06D1F"/>
    <w:rsid w:val="00F110CE"/>
    <w:rsid w:val="00F122C7"/>
    <w:rsid w:val="00F126DC"/>
    <w:rsid w:val="00F13FC5"/>
    <w:rsid w:val="00F1446D"/>
    <w:rsid w:val="00F14C54"/>
    <w:rsid w:val="00F1532B"/>
    <w:rsid w:val="00F15706"/>
    <w:rsid w:val="00F22C2C"/>
    <w:rsid w:val="00F22C7D"/>
    <w:rsid w:val="00F24529"/>
    <w:rsid w:val="00F25CEB"/>
    <w:rsid w:val="00F27F65"/>
    <w:rsid w:val="00F30E8A"/>
    <w:rsid w:val="00F322A2"/>
    <w:rsid w:val="00F335AE"/>
    <w:rsid w:val="00F349DF"/>
    <w:rsid w:val="00F3597A"/>
    <w:rsid w:val="00F35B3C"/>
    <w:rsid w:val="00F40968"/>
    <w:rsid w:val="00F42115"/>
    <w:rsid w:val="00F42851"/>
    <w:rsid w:val="00F43705"/>
    <w:rsid w:val="00F454B7"/>
    <w:rsid w:val="00F45F14"/>
    <w:rsid w:val="00F50C66"/>
    <w:rsid w:val="00F51437"/>
    <w:rsid w:val="00F51D42"/>
    <w:rsid w:val="00F53A58"/>
    <w:rsid w:val="00F55CC3"/>
    <w:rsid w:val="00F57269"/>
    <w:rsid w:val="00F57750"/>
    <w:rsid w:val="00F57B99"/>
    <w:rsid w:val="00F57CF0"/>
    <w:rsid w:val="00F60FD4"/>
    <w:rsid w:val="00F611FE"/>
    <w:rsid w:val="00F61780"/>
    <w:rsid w:val="00F62A39"/>
    <w:rsid w:val="00F64409"/>
    <w:rsid w:val="00F64FE9"/>
    <w:rsid w:val="00F659BD"/>
    <w:rsid w:val="00F65ADB"/>
    <w:rsid w:val="00F66C03"/>
    <w:rsid w:val="00F67714"/>
    <w:rsid w:val="00F67F0E"/>
    <w:rsid w:val="00F71FD8"/>
    <w:rsid w:val="00F7287D"/>
    <w:rsid w:val="00F74482"/>
    <w:rsid w:val="00F74827"/>
    <w:rsid w:val="00F74CD9"/>
    <w:rsid w:val="00F74DEB"/>
    <w:rsid w:val="00F76700"/>
    <w:rsid w:val="00F80470"/>
    <w:rsid w:val="00F810BF"/>
    <w:rsid w:val="00F84333"/>
    <w:rsid w:val="00F84AE3"/>
    <w:rsid w:val="00F85207"/>
    <w:rsid w:val="00F85DA6"/>
    <w:rsid w:val="00F917A6"/>
    <w:rsid w:val="00F9220F"/>
    <w:rsid w:val="00F94CA1"/>
    <w:rsid w:val="00F975FD"/>
    <w:rsid w:val="00FA2D75"/>
    <w:rsid w:val="00FA530A"/>
    <w:rsid w:val="00FA5CB0"/>
    <w:rsid w:val="00FA6E59"/>
    <w:rsid w:val="00FA76D9"/>
    <w:rsid w:val="00FB1CB1"/>
    <w:rsid w:val="00FB7E6E"/>
    <w:rsid w:val="00FC0396"/>
    <w:rsid w:val="00FC0459"/>
    <w:rsid w:val="00FC0DC3"/>
    <w:rsid w:val="00FC0EC1"/>
    <w:rsid w:val="00FC148D"/>
    <w:rsid w:val="00FC2FCC"/>
    <w:rsid w:val="00FC3716"/>
    <w:rsid w:val="00FC39DF"/>
    <w:rsid w:val="00FC5106"/>
    <w:rsid w:val="00FC536D"/>
    <w:rsid w:val="00FC5CA3"/>
    <w:rsid w:val="00FC75BD"/>
    <w:rsid w:val="00FC75CE"/>
    <w:rsid w:val="00FD04DB"/>
    <w:rsid w:val="00FD0B73"/>
    <w:rsid w:val="00FD310B"/>
    <w:rsid w:val="00FD3643"/>
    <w:rsid w:val="00FD3789"/>
    <w:rsid w:val="00FD3C2F"/>
    <w:rsid w:val="00FD53E7"/>
    <w:rsid w:val="00FD609E"/>
    <w:rsid w:val="00FD70A6"/>
    <w:rsid w:val="00FE0CF6"/>
    <w:rsid w:val="00FE1709"/>
    <w:rsid w:val="00FE3417"/>
    <w:rsid w:val="00FE34EA"/>
    <w:rsid w:val="00FE3696"/>
    <w:rsid w:val="00FE401B"/>
    <w:rsid w:val="00FE6F0C"/>
    <w:rsid w:val="00FF0002"/>
    <w:rsid w:val="00FF2E2B"/>
    <w:rsid w:val="00FF3B77"/>
    <w:rsid w:val="00FF5ADC"/>
    <w:rsid w:val="01D73BF4"/>
    <w:rsid w:val="06C8201F"/>
    <w:rsid w:val="0AE65F41"/>
    <w:rsid w:val="0F7056DE"/>
    <w:rsid w:val="1CD87361"/>
    <w:rsid w:val="1FF4458C"/>
    <w:rsid w:val="207B671F"/>
    <w:rsid w:val="2093522A"/>
    <w:rsid w:val="2132510C"/>
    <w:rsid w:val="24A555D1"/>
    <w:rsid w:val="268D4F85"/>
    <w:rsid w:val="2A9A1205"/>
    <w:rsid w:val="2AC12294"/>
    <w:rsid w:val="2B5C70F3"/>
    <w:rsid w:val="2BEB7D0E"/>
    <w:rsid w:val="2D5A582A"/>
    <w:rsid w:val="2E244707"/>
    <w:rsid w:val="33565C1A"/>
    <w:rsid w:val="35116BF1"/>
    <w:rsid w:val="42AB6014"/>
    <w:rsid w:val="44586393"/>
    <w:rsid w:val="44DA1407"/>
    <w:rsid w:val="45002CCD"/>
    <w:rsid w:val="45A47AA9"/>
    <w:rsid w:val="490645A0"/>
    <w:rsid w:val="49F10C09"/>
    <w:rsid w:val="4A55453A"/>
    <w:rsid w:val="4BA15E42"/>
    <w:rsid w:val="4C062C46"/>
    <w:rsid w:val="508F6210"/>
    <w:rsid w:val="52A54229"/>
    <w:rsid w:val="54CF7667"/>
    <w:rsid w:val="558667EE"/>
    <w:rsid w:val="56430AF8"/>
    <w:rsid w:val="57A93696"/>
    <w:rsid w:val="57DA1D6D"/>
    <w:rsid w:val="5A6E6DF5"/>
    <w:rsid w:val="5B4E62E6"/>
    <w:rsid w:val="5BEB07B5"/>
    <w:rsid w:val="60BE182A"/>
    <w:rsid w:val="648F38FA"/>
    <w:rsid w:val="652D1685"/>
    <w:rsid w:val="67276B1D"/>
    <w:rsid w:val="683900C7"/>
    <w:rsid w:val="715F25DC"/>
    <w:rsid w:val="74FA4B78"/>
    <w:rsid w:val="7A073563"/>
    <w:rsid w:val="7A650B1E"/>
    <w:rsid w:val="7AA671EE"/>
    <w:rsid w:val="7B18195F"/>
    <w:rsid w:val="7D6176DB"/>
    <w:rsid w:val="7DB12C80"/>
    <w:rsid w:val="7F077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nhideWhenUsed="0" w:uiPriority="0" w:name="toc 2"/>
    <w:lsdException w:unhideWhenUsed="0" w:uiPriority="0" w:name="toc 3"/>
    <w:lsdException w:unhideWhenUsed="0" w:uiPriority="0" w:name="toc 4"/>
    <w:lsdException w:qFormat="1" w:unhideWhenUsed="0" w:uiPriority="0" w:name="toc 5"/>
    <w:lsdException w:qFormat="1"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2"/>
    <w:qFormat/>
    <w:uiPriority w:val="0"/>
    <w:pPr>
      <w:keepNext/>
      <w:outlineLvl w:val="0"/>
    </w:pPr>
    <w:rPr>
      <w:rFonts w:ascii="楷体_GB2312" w:eastAsia="楷体_GB2312"/>
      <w:sz w:val="28"/>
      <w:szCs w:val="20"/>
    </w:rPr>
  </w:style>
  <w:style w:type="paragraph" w:styleId="4">
    <w:name w:val="heading 2"/>
    <w:basedOn w:val="1"/>
    <w:next w:val="5"/>
    <w:qFormat/>
    <w:uiPriority w:val="0"/>
    <w:pPr>
      <w:keepNext/>
      <w:keepLines/>
      <w:spacing w:before="260" w:after="260" w:line="416" w:lineRule="auto"/>
      <w:jc w:val="center"/>
      <w:outlineLvl w:val="1"/>
    </w:pPr>
    <w:rPr>
      <w:rFonts w:ascii="Arial" w:hAnsi="Arial" w:eastAsia="幼圆"/>
      <w:b/>
      <w:sz w:val="44"/>
      <w:szCs w:val="20"/>
    </w:rPr>
  </w:style>
  <w:style w:type="paragraph" w:styleId="6">
    <w:name w:val="heading 3"/>
    <w:basedOn w:val="1"/>
    <w:next w:val="5"/>
    <w:qFormat/>
    <w:uiPriority w:val="0"/>
    <w:pPr>
      <w:keepNext/>
      <w:keepLines/>
      <w:spacing w:before="260" w:after="260" w:line="416" w:lineRule="auto"/>
      <w:outlineLvl w:val="2"/>
    </w:pPr>
    <w:rPr>
      <w:b/>
      <w:sz w:val="32"/>
      <w:szCs w:val="20"/>
    </w:rPr>
  </w:style>
  <w:style w:type="paragraph" w:styleId="7">
    <w:name w:val="heading 4"/>
    <w:basedOn w:val="1"/>
    <w:next w:val="5"/>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outlineLvl w:val="4"/>
    </w:pPr>
    <w:rPr>
      <w:rFonts w:ascii="宋体" w:hAnsi="宋体"/>
      <w:b/>
      <w:bCs/>
    </w:rPr>
  </w:style>
  <w:style w:type="character" w:default="1" w:styleId="38">
    <w:name w:val="Default Paragraph Font"/>
    <w:semiHidden/>
    <w:unhideWhenUsed/>
    <w:uiPriority w:val="1"/>
  </w:style>
  <w:style w:type="table" w:default="1" w:styleId="36">
    <w:name w:val="Normal Table"/>
    <w:semiHidden/>
    <w:unhideWhenUsed/>
    <w:uiPriority w:val="99"/>
    <w:tblPr>
      <w:tblCellMar>
        <w:top w:w="0" w:type="dxa"/>
        <w:left w:w="108" w:type="dxa"/>
        <w:bottom w:w="0" w:type="dxa"/>
        <w:right w:w="108" w:type="dxa"/>
      </w:tblCellMar>
    </w:tblPr>
  </w:style>
  <w:style w:type="paragraph" w:styleId="2">
    <w:name w:val="List Paragraph"/>
    <w:basedOn w:val="1"/>
    <w:qFormat/>
    <w:uiPriority w:val="0"/>
    <w:pPr>
      <w:ind w:firstLine="420" w:firstLineChars="200"/>
    </w:pPr>
    <w:rPr>
      <w:szCs w:val="22"/>
    </w:rPr>
  </w:style>
  <w:style w:type="paragraph" w:styleId="5">
    <w:name w:val="Normal Indent"/>
    <w:basedOn w:val="1"/>
    <w:link w:val="46"/>
    <w:uiPriority w:val="0"/>
    <w:pPr>
      <w:ind w:firstLine="420"/>
    </w:pPr>
    <w:rPr>
      <w:szCs w:val="20"/>
    </w:rPr>
  </w:style>
  <w:style w:type="paragraph" w:styleId="9">
    <w:name w:val="toc 7"/>
    <w:basedOn w:val="1"/>
    <w:next w:val="1"/>
    <w:semiHidden/>
    <w:uiPriority w:val="0"/>
    <w:pPr>
      <w:ind w:left="2520" w:leftChars="1200"/>
    </w:pPr>
  </w:style>
  <w:style w:type="paragraph" w:styleId="10">
    <w:name w:val="Document Map"/>
    <w:basedOn w:val="1"/>
    <w:semiHidden/>
    <w:uiPriority w:val="0"/>
    <w:pPr>
      <w:shd w:val="clear" w:color="auto" w:fill="000080"/>
    </w:pPr>
  </w:style>
  <w:style w:type="paragraph" w:styleId="11">
    <w:name w:val="annotation text"/>
    <w:basedOn w:val="1"/>
    <w:link w:val="47"/>
    <w:uiPriority w:val="0"/>
    <w:pPr>
      <w:jc w:val="left"/>
    </w:pPr>
  </w:style>
  <w:style w:type="paragraph" w:styleId="12">
    <w:name w:val="Body Text 3"/>
    <w:basedOn w:val="1"/>
    <w:uiPriority w:val="0"/>
    <w:rPr>
      <w:rFonts w:ascii="仿宋_GB2312" w:hAnsi="Arial" w:eastAsia="仿宋_GB2312"/>
      <w:sz w:val="32"/>
      <w:szCs w:val="20"/>
    </w:rPr>
  </w:style>
  <w:style w:type="paragraph" w:styleId="13">
    <w:name w:val="Body Text"/>
    <w:basedOn w:val="1"/>
    <w:uiPriority w:val="0"/>
    <w:rPr>
      <w:rFonts w:ascii="楷体_GB2312" w:hAnsi="Arial" w:eastAsia="楷体_GB2312"/>
      <w:sz w:val="28"/>
      <w:szCs w:val="20"/>
    </w:rPr>
  </w:style>
  <w:style w:type="paragraph" w:styleId="14">
    <w:name w:val="Body Text Indent"/>
    <w:basedOn w:val="1"/>
    <w:qFormat/>
    <w:uiPriority w:val="0"/>
    <w:pPr>
      <w:ind w:firstLine="645"/>
    </w:pPr>
    <w:rPr>
      <w:rFonts w:ascii="楷体_GB2312" w:eastAsia="楷体_GB2312"/>
      <w:sz w:val="32"/>
      <w:szCs w:val="20"/>
    </w:rPr>
  </w:style>
  <w:style w:type="paragraph" w:styleId="15">
    <w:name w:val="toc 5"/>
    <w:basedOn w:val="1"/>
    <w:next w:val="1"/>
    <w:semiHidden/>
    <w:qFormat/>
    <w:uiPriority w:val="0"/>
    <w:pPr>
      <w:ind w:left="1680" w:leftChars="800"/>
    </w:pPr>
  </w:style>
  <w:style w:type="paragraph" w:styleId="16">
    <w:name w:val="toc 3"/>
    <w:basedOn w:val="1"/>
    <w:next w:val="1"/>
    <w:semiHidden/>
    <w:uiPriority w:val="0"/>
    <w:pPr>
      <w:tabs>
        <w:tab w:val="right" w:leader="dot" w:pos="9440"/>
      </w:tabs>
      <w:spacing w:line="240" w:lineRule="exact"/>
      <w:ind w:left="539"/>
      <w:jc w:val="left"/>
    </w:pPr>
    <w:rPr>
      <w:rFonts w:ascii="黑体" w:hAnsi="宋体" w:eastAsia="黑体"/>
      <w:bCs/>
      <w:iCs/>
      <w:sz w:val="18"/>
      <w:szCs w:val="32"/>
    </w:rPr>
  </w:style>
  <w:style w:type="paragraph" w:styleId="17">
    <w:name w:val="Plain Text"/>
    <w:basedOn w:val="1"/>
    <w:uiPriority w:val="0"/>
    <w:rPr>
      <w:rFonts w:hint="eastAsia" w:ascii="宋体" w:hAnsi="Courier New"/>
      <w:szCs w:val="20"/>
    </w:rPr>
  </w:style>
  <w:style w:type="paragraph" w:styleId="18">
    <w:name w:val="toc 8"/>
    <w:basedOn w:val="1"/>
    <w:next w:val="1"/>
    <w:semiHidden/>
    <w:uiPriority w:val="0"/>
    <w:pPr>
      <w:ind w:left="2940" w:leftChars="1400"/>
    </w:pPr>
  </w:style>
  <w:style w:type="paragraph" w:styleId="19">
    <w:name w:val="Date"/>
    <w:basedOn w:val="1"/>
    <w:next w:val="1"/>
    <w:uiPriority w:val="0"/>
    <w:rPr>
      <w:sz w:val="24"/>
      <w:szCs w:val="20"/>
    </w:rPr>
  </w:style>
  <w:style w:type="paragraph" w:styleId="20">
    <w:name w:val="Body Text Indent 2"/>
    <w:basedOn w:val="1"/>
    <w:qFormat/>
    <w:uiPriority w:val="0"/>
    <w:pPr>
      <w:ind w:firstLine="560" w:firstLineChars="200"/>
    </w:pPr>
    <w:rPr>
      <w:rFonts w:ascii="宋体" w:hAnsi="宋体"/>
      <w:sz w:val="28"/>
    </w:rPr>
  </w:style>
  <w:style w:type="paragraph" w:styleId="21">
    <w:name w:val="Balloon Text"/>
    <w:basedOn w:val="1"/>
    <w:semiHidden/>
    <w:uiPriority w:val="0"/>
    <w:rPr>
      <w:sz w:val="18"/>
      <w:szCs w:val="18"/>
    </w:rPr>
  </w:style>
  <w:style w:type="paragraph" w:styleId="22">
    <w:name w:val="footer"/>
    <w:basedOn w:val="1"/>
    <w:uiPriority w:val="0"/>
    <w:pPr>
      <w:tabs>
        <w:tab w:val="center" w:pos="4153"/>
        <w:tab w:val="right" w:pos="8306"/>
      </w:tabs>
      <w:snapToGrid w:val="0"/>
      <w:jc w:val="left"/>
    </w:pPr>
    <w:rPr>
      <w:sz w:val="18"/>
      <w:szCs w:val="20"/>
    </w:rPr>
  </w:style>
  <w:style w:type="paragraph" w:styleId="2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440"/>
      </w:tabs>
      <w:spacing w:before="120" w:after="120" w:line="300" w:lineRule="exact"/>
      <w:jc w:val="left"/>
    </w:pPr>
    <w:rPr>
      <w:rFonts w:ascii="黑体" w:eastAsia="黑体"/>
      <w:b/>
      <w:caps/>
      <w:sz w:val="18"/>
      <w:szCs w:val="28"/>
    </w:rPr>
  </w:style>
  <w:style w:type="paragraph" w:styleId="25">
    <w:name w:val="toc 4"/>
    <w:basedOn w:val="1"/>
    <w:next w:val="1"/>
    <w:semiHidden/>
    <w:uiPriority w:val="0"/>
    <w:pPr>
      <w:ind w:left="1260" w:leftChars="600"/>
    </w:pPr>
  </w:style>
  <w:style w:type="paragraph" w:styleId="26">
    <w:name w:val="toc 6"/>
    <w:basedOn w:val="1"/>
    <w:next w:val="1"/>
    <w:semiHidden/>
    <w:qFormat/>
    <w:uiPriority w:val="0"/>
    <w:pPr>
      <w:ind w:left="2100" w:leftChars="1000"/>
    </w:pPr>
  </w:style>
  <w:style w:type="paragraph" w:styleId="27">
    <w:name w:val="Body Text Indent 3"/>
    <w:basedOn w:val="1"/>
    <w:uiPriority w:val="0"/>
    <w:pPr>
      <w:ind w:firstLine="523"/>
    </w:pPr>
    <w:rPr>
      <w:rFonts w:ascii="仿宋_GB2312" w:hAnsi="宋体" w:eastAsia="仿宋_GB2312"/>
      <w:sz w:val="24"/>
    </w:rPr>
  </w:style>
  <w:style w:type="paragraph" w:styleId="28">
    <w:name w:val="toc 2"/>
    <w:basedOn w:val="1"/>
    <w:next w:val="1"/>
    <w:semiHidden/>
    <w:uiPriority w:val="0"/>
    <w:pPr>
      <w:tabs>
        <w:tab w:val="right" w:leader="dot" w:pos="9440"/>
      </w:tabs>
      <w:spacing w:line="260" w:lineRule="exact"/>
      <w:jc w:val="left"/>
    </w:pPr>
    <w:rPr>
      <w:rFonts w:ascii="黑体" w:eastAsia="黑体"/>
      <w:b/>
      <w:bCs/>
      <w:smallCaps/>
      <w:sz w:val="18"/>
      <w:szCs w:val="44"/>
    </w:rPr>
  </w:style>
  <w:style w:type="paragraph" w:styleId="29">
    <w:name w:val="toc 9"/>
    <w:basedOn w:val="1"/>
    <w:next w:val="1"/>
    <w:semiHidden/>
    <w:uiPriority w:val="0"/>
    <w:pPr>
      <w:ind w:left="3360" w:leftChars="1600"/>
    </w:pPr>
  </w:style>
  <w:style w:type="paragraph" w:styleId="30">
    <w:name w:val="Body Text 2"/>
    <w:basedOn w:val="1"/>
    <w:qFormat/>
    <w:uiPriority w:val="0"/>
    <w:pPr>
      <w:jc w:val="center"/>
    </w:pPr>
    <w:rPr>
      <w:rFonts w:ascii="仿宋_GB2312" w:eastAsia="仿宋_GB2312"/>
      <w:sz w:val="44"/>
    </w:rPr>
  </w:style>
  <w:style w:type="paragraph" w:styleId="31">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2">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33">
    <w:name w:val="index 1"/>
    <w:basedOn w:val="1"/>
    <w:next w:val="1"/>
    <w:semiHidden/>
    <w:uiPriority w:val="0"/>
    <w:rPr>
      <w:rFonts w:ascii="宋体" w:hAnsi="宋体"/>
      <w:szCs w:val="18"/>
    </w:rPr>
  </w:style>
  <w:style w:type="paragraph" w:styleId="34">
    <w:name w:val="Title"/>
    <w:basedOn w:val="1"/>
    <w:qFormat/>
    <w:uiPriority w:val="10"/>
    <w:pPr>
      <w:adjustRightInd w:val="0"/>
      <w:spacing w:before="240" w:after="60" w:line="420" w:lineRule="atLeast"/>
      <w:jc w:val="center"/>
      <w:textAlignment w:val="baseline"/>
      <w:outlineLvl w:val="0"/>
    </w:pPr>
    <w:rPr>
      <w:rFonts w:ascii="Arial" w:hAnsi="Arial"/>
      <w:b/>
      <w:kern w:val="0"/>
      <w:sz w:val="32"/>
      <w:szCs w:val="20"/>
    </w:rPr>
  </w:style>
  <w:style w:type="paragraph" w:styleId="35">
    <w:name w:val="annotation subject"/>
    <w:basedOn w:val="11"/>
    <w:next w:val="11"/>
    <w:link w:val="53"/>
    <w:uiPriority w:val="0"/>
    <w:rPr>
      <w:b/>
      <w:bCs/>
    </w:rPr>
  </w:style>
  <w:style w:type="table" w:styleId="37">
    <w:name w:val="Table Grid"/>
    <w:basedOn w:val="3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bCs/>
    </w:rPr>
  </w:style>
  <w:style w:type="character" w:styleId="40">
    <w:name w:val="page number"/>
    <w:basedOn w:val="38"/>
    <w:uiPriority w:val="0"/>
  </w:style>
  <w:style w:type="character" w:styleId="41">
    <w:name w:val="FollowedHyperlink"/>
    <w:uiPriority w:val="0"/>
    <w:rPr>
      <w:color w:val="4F4F4F"/>
      <w:u w:val="none"/>
    </w:rPr>
  </w:style>
  <w:style w:type="character" w:styleId="42">
    <w:name w:val="Hyperlink"/>
    <w:uiPriority w:val="0"/>
    <w:rPr>
      <w:color w:val="0000FF"/>
      <w:u w:val="single"/>
    </w:rPr>
  </w:style>
  <w:style w:type="character" w:styleId="43">
    <w:name w:val="annotation reference"/>
    <w:uiPriority w:val="0"/>
    <w:rPr>
      <w:sz w:val="21"/>
      <w:szCs w:val="21"/>
    </w:rPr>
  </w:style>
  <w:style w:type="character" w:customStyle="1" w:styleId="44">
    <w:name w:val="列出段落 Char"/>
    <w:link w:val="45"/>
    <w:locked/>
    <w:uiPriority w:val="0"/>
    <w:rPr>
      <w:rFonts w:ascii="Calibri" w:hAnsi="Calibri"/>
      <w:sz w:val="24"/>
      <w:szCs w:val="24"/>
      <w:lang w:eastAsia="en-US" w:bidi="en-US"/>
    </w:rPr>
  </w:style>
  <w:style w:type="paragraph" w:customStyle="1" w:styleId="45">
    <w:name w:val="列出段落1"/>
    <w:basedOn w:val="1"/>
    <w:link w:val="44"/>
    <w:qFormat/>
    <w:uiPriority w:val="0"/>
    <w:pPr>
      <w:widowControl/>
      <w:ind w:left="720"/>
      <w:contextualSpacing/>
      <w:jc w:val="left"/>
    </w:pPr>
    <w:rPr>
      <w:kern w:val="0"/>
      <w:sz w:val="24"/>
      <w:lang w:eastAsia="en-US" w:bidi="en-US"/>
    </w:rPr>
  </w:style>
  <w:style w:type="character" w:customStyle="1" w:styleId="46">
    <w:name w:val="正文缩进 字符"/>
    <w:link w:val="5"/>
    <w:uiPriority w:val="0"/>
    <w:rPr>
      <w:rFonts w:eastAsia="宋体"/>
      <w:kern w:val="2"/>
      <w:sz w:val="21"/>
      <w:lang w:val="en-US" w:eastAsia="zh-CN" w:bidi="ar-SA"/>
    </w:rPr>
  </w:style>
  <w:style w:type="character" w:customStyle="1" w:styleId="47">
    <w:name w:val="批注文字 字符"/>
    <w:link w:val="11"/>
    <w:uiPriority w:val="0"/>
    <w:rPr>
      <w:kern w:val="2"/>
      <w:sz w:val="21"/>
      <w:szCs w:val="24"/>
    </w:rPr>
  </w:style>
  <w:style w:type="character" w:customStyle="1" w:styleId="48">
    <w:name w:val="标题2 Char"/>
    <w:uiPriority w:val="0"/>
    <w:rPr>
      <w:rFonts w:ascii="方正楷体_GBK" w:hAnsi="Book Antiqua" w:eastAsia="方正楷体_GBK"/>
      <w:snapToGrid w:val="0"/>
      <w:sz w:val="32"/>
      <w:lang w:val="en-US" w:eastAsia="zh-CN" w:bidi="ar-SA"/>
    </w:rPr>
  </w:style>
  <w:style w:type="character" w:customStyle="1" w:styleId="49">
    <w:name w:val="current"/>
    <w:uiPriority w:val="0"/>
    <w:rPr>
      <w:b/>
      <w:color w:val="FFFFFF"/>
      <w:bdr w:val="single" w:color="17569E" w:sz="6" w:space="0"/>
      <w:shd w:val="clear" w:color="auto" w:fill="17569E"/>
    </w:rPr>
  </w:style>
  <w:style w:type="character" w:customStyle="1" w:styleId="50">
    <w:name w:val="NormalCharacter"/>
    <w:qFormat/>
    <w:uiPriority w:val="0"/>
    <w:rPr>
      <w:kern w:val="2"/>
      <w:sz w:val="21"/>
      <w:szCs w:val="24"/>
      <w:lang w:val="en-US" w:eastAsia="zh-CN" w:bidi="ar-SA"/>
    </w:rPr>
  </w:style>
  <w:style w:type="character" w:customStyle="1" w:styleId="51">
    <w:name w:val="jj1"/>
    <w:uiPriority w:val="0"/>
    <w:rPr>
      <w:sz w:val="20"/>
      <w:szCs w:val="20"/>
      <w:u w:val="none"/>
    </w:rPr>
  </w:style>
  <w:style w:type="character" w:customStyle="1" w:styleId="52">
    <w:name w:val="标题 1 字符"/>
    <w:link w:val="3"/>
    <w:uiPriority w:val="0"/>
    <w:rPr>
      <w:rFonts w:ascii="楷体_GB2312" w:eastAsia="楷体_GB2312"/>
      <w:kern w:val="2"/>
      <w:sz w:val="28"/>
      <w:lang w:val="en-US" w:eastAsia="zh-CN" w:bidi="ar-SA"/>
    </w:rPr>
  </w:style>
  <w:style w:type="character" w:customStyle="1" w:styleId="53">
    <w:name w:val="批注主题 字符"/>
    <w:link w:val="35"/>
    <w:uiPriority w:val="0"/>
    <w:rPr>
      <w:b/>
      <w:bCs/>
      <w:kern w:val="2"/>
      <w:sz w:val="21"/>
      <w:szCs w:val="24"/>
    </w:rPr>
  </w:style>
  <w:style w:type="character" w:customStyle="1" w:styleId="54">
    <w:name w:val="disabled"/>
    <w:uiPriority w:val="0"/>
    <w:rPr>
      <w:color w:val="DDDDDD"/>
      <w:bdr w:val="single" w:color="EEEEEE" w:sz="6" w:space="0"/>
    </w:rPr>
  </w:style>
  <w:style w:type="paragraph" w:customStyle="1" w:styleId="55">
    <w:name w:val="Char"/>
    <w:basedOn w:val="1"/>
    <w:uiPriority w:val="0"/>
    <w:pPr>
      <w:tabs>
        <w:tab w:val="left" w:pos="360"/>
      </w:tabs>
      <w:ind w:firstLine="561"/>
      <w:jc w:val="left"/>
    </w:pPr>
    <w:rPr>
      <w:sz w:val="24"/>
      <w:u w:val="single"/>
    </w:rPr>
  </w:style>
  <w:style w:type="paragraph" w:customStyle="1" w:styleId="56">
    <w:name w:val="HTML 预先格式化"/>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57">
    <w:name w:val="Char1"/>
    <w:basedOn w:val="1"/>
    <w:uiPriority w:val="0"/>
    <w:rPr>
      <w:rFonts w:ascii="Tahoma" w:hAnsi="Tahoma"/>
      <w:snapToGrid w:val="0"/>
      <w:sz w:val="24"/>
      <w:szCs w:val="20"/>
    </w:rPr>
  </w:style>
  <w:style w:type="paragraph" w:customStyle="1" w:styleId="58">
    <w:name w:val="普通正文"/>
    <w:basedOn w:val="1"/>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59">
    <w:name w:val="BioQuote Tekst"/>
    <w:basedOn w:val="1"/>
    <w:uiPriority w:val="0"/>
    <w:pPr>
      <w:ind w:right="-1"/>
    </w:pPr>
    <w:rPr>
      <w:rFonts w:ascii="Arial" w:hAnsi="Arial"/>
      <w:snapToGrid w:val="0"/>
      <w:kern w:val="0"/>
      <w:sz w:val="22"/>
      <w:szCs w:val="20"/>
      <w:lang w:eastAsia="en-US"/>
    </w:rPr>
  </w:style>
  <w:style w:type="paragraph" w:customStyle="1" w:styleId="60">
    <w:name w:val="第四级"/>
    <w:basedOn w:val="1"/>
    <w:next w:val="1"/>
    <w:qFormat/>
    <w:uiPriority w:val="0"/>
    <w:pPr>
      <w:numPr>
        <w:ilvl w:val="3"/>
        <w:numId w:val="1"/>
      </w:numPr>
      <w:adjustRightInd w:val="0"/>
      <w:spacing w:line="360" w:lineRule="auto"/>
      <w:textAlignment w:val="baseline"/>
    </w:pPr>
    <w:rPr>
      <w:rFonts w:ascii="宋体" w:hAnsi="宋体" w:eastAsia="仿宋"/>
      <w:kern w:val="0"/>
      <w:sz w:val="28"/>
      <w:szCs w:val="21"/>
    </w:rPr>
  </w:style>
  <w:style w:type="paragraph" w:customStyle="1" w:styleId="61">
    <w:name w:val="正文 1.1"/>
    <w:basedOn w:val="1"/>
    <w:next w:val="62"/>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 w:val="28"/>
      <w:szCs w:val="21"/>
    </w:rPr>
  </w:style>
  <w:style w:type="paragraph" w:customStyle="1" w:styleId="62">
    <w:name w:val="正文 1.1.1"/>
    <w:basedOn w:val="1"/>
    <w:next w:val="1"/>
    <w:uiPriority w:val="0"/>
    <w:pPr>
      <w:numPr>
        <w:ilvl w:val="2"/>
        <w:numId w:val="1"/>
      </w:numPr>
      <w:adjustRightInd w:val="0"/>
      <w:spacing w:line="360" w:lineRule="auto"/>
      <w:textAlignment w:val="baseline"/>
      <w:outlineLvl w:val="2"/>
    </w:pPr>
    <w:rPr>
      <w:rFonts w:ascii="宋体" w:hAnsi="宋体"/>
      <w:color w:val="000000"/>
      <w:kern w:val="0"/>
      <w:sz w:val="28"/>
      <w:szCs w:val="21"/>
    </w:rPr>
  </w:style>
  <w:style w:type="paragraph" w:customStyle="1" w:styleId="63">
    <w:name w:val="标题1"/>
    <w:basedOn w:val="1"/>
    <w:next w:val="1"/>
    <w:uiPriority w:val="0"/>
    <w:pPr>
      <w:tabs>
        <w:tab w:val="left" w:pos="9193"/>
        <w:tab w:val="left" w:pos="9827"/>
      </w:tabs>
      <w:spacing w:line="700" w:lineRule="atLeast"/>
      <w:jc w:val="center"/>
    </w:pPr>
    <w:rPr>
      <w:rFonts w:eastAsia="方正小标宋_GBK"/>
      <w:sz w:val="44"/>
    </w:rPr>
  </w:style>
  <w:style w:type="paragraph" w:customStyle="1" w:styleId="64">
    <w:name w:val="标书正文格式"/>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65">
    <w:name w:val="正文 第一章"/>
    <w:basedOn w:val="1"/>
    <w:next w:val="61"/>
    <w:qFormat/>
    <w:uiPriority w:val="0"/>
    <w:pPr>
      <w:pageBreakBefore/>
      <w:numPr>
        <w:ilvl w:val="0"/>
        <w:numId w:val="1"/>
      </w:numPr>
      <w:adjustRightInd w:val="0"/>
      <w:spacing w:before="240" w:after="240" w:line="480" w:lineRule="auto"/>
      <w:jc w:val="center"/>
      <w:textAlignment w:val="baseline"/>
      <w:outlineLvl w:val="0"/>
    </w:pPr>
    <w:rPr>
      <w:rFonts w:ascii="黑体" w:hAnsi="宋体" w:eastAsia="黑体"/>
      <w:kern w:val="0"/>
      <w:sz w:val="36"/>
      <w:szCs w:val="21"/>
    </w:rPr>
  </w:style>
  <w:style w:type="paragraph" w:customStyle="1" w:styleId="66">
    <w:name w:val="Char Char Char Char1 Char Char Char"/>
    <w:basedOn w:val="10"/>
    <w:qFormat/>
    <w:uiPriority w:val="0"/>
    <w:pPr>
      <w:adjustRightInd w:val="0"/>
      <w:snapToGrid w:val="0"/>
      <w:spacing w:line="360" w:lineRule="auto"/>
    </w:pPr>
    <w:rPr>
      <w:rFonts w:ascii="Tahoma" w:hAnsi="Tahoma"/>
      <w:sz w:val="24"/>
    </w:rPr>
  </w:style>
  <w:style w:type="paragraph" w:customStyle="1" w:styleId="67">
    <w:name w:val="xl47"/>
    <w:basedOn w:val="1"/>
    <w:qFormat/>
    <w:uiPriority w:val="0"/>
    <w:pPr>
      <w:widowControl/>
      <w:spacing w:before="100" w:beforeAutospacing="1" w:after="100" w:afterAutospacing="1"/>
      <w:jc w:val="center"/>
    </w:pPr>
    <w:rPr>
      <w:rFonts w:hint="eastAsia" w:ascii="方正姚体" w:hAnsi="宋体" w:eastAsia="方正姚体"/>
      <w:b/>
      <w:bCs/>
      <w:kern w:val="0"/>
      <w:sz w:val="36"/>
      <w:szCs w:val="36"/>
    </w:rPr>
  </w:style>
  <w:style w:type="paragraph" w:customStyle="1" w:styleId="68">
    <w:name w:val="标题3"/>
    <w:basedOn w:val="1"/>
    <w:next w:val="1"/>
    <w:uiPriority w:val="0"/>
    <w:rPr>
      <w:rFonts w:eastAsia="方正黑体_GBK"/>
    </w:rPr>
  </w:style>
  <w:style w:type="paragraph" w:customStyle="1" w:styleId="69">
    <w:name w:val="Char Char Char Char"/>
    <w:basedOn w:val="10"/>
    <w:uiPriority w:val="0"/>
    <w:pPr>
      <w:adjustRightInd w:val="0"/>
      <w:snapToGrid w:val="0"/>
      <w:spacing w:line="360" w:lineRule="auto"/>
    </w:pPr>
    <w:rPr>
      <w:rFonts w:ascii="Tahoma" w:hAnsi="Tahoma"/>
      <w:sz w:val="24"/>
    </w:rPr>
  </w:style>
  <w:style w:type="paragraph" w:customStyle="1" w:styleId="70">
    <w:name w:val="Table Text"/>
    <w:uiPriority w:val="0"/>
    <w:pPr>
      <w:snapToGrid w:val="0"/>
      <w:spacing w:beforeLines="50" w:after="80"/>
      <w:jc w:val="center"/>
    </w:pPr>
    <w:rPr>
      <w:rFonts w:ascii="仿宋_GB2312" w:hAnsi="宋体" w:eastAsia="仿宋_GB2312" w:cs="Times New Roman"/>
      <w:sz w:val="24"/>
      <w:lang w:val="en-US" w:eastAsia="zh-CN" w:bidi="ar-SA"/>
    </w:rPr>
  </w:style>
  <w:style w:type="paragraph" w:customStyle="1" w:styleId="71">
    <w:name w:val="标题2"/>
    <w:basedOn w:val="1"/>
    <w:next w:val="1"/>
    <w:uiPriority w:val="0"/>
    <w:pPr>
      <w:jc w:val="center"/>
    </w:pPr>
    <w:rPr>
      <w:rFonts w:eastAsia="方正楷体_GBK"/>
    </w:rPr>
  </w:style>
  <w:style w:type="paragraph" w:customStyle="1" w:styleId="72">
    <w:name w:val="附录1"/>
    <w:uiPriority w:val="0"/>
    <w:pPr>
      <w:numPr>
        <w:ilvl w:val="0"/>
        <w:numId w:val="2"/>
      </w:numPr>
      <w:snapToGrid w:val="0"/>
      <w:spacing w:before="240" w:line="600" w:lineRule="atLeast"/>
    </w:pPr>
    <w:rPr>
      <w:rFonts w:ascii="Calibri" w:hAnsi="Calibri" w:eastAsia="宋体" w:cs="Times New Roman"/>
      <w:b/>
      <w:i/>
      <w:sz w:val="28"/>
      <w:lang w:val="en-US" w:eastAsia="zh-CN" w:bidi="ar-SA"/>
    </w:rPr>
  </w:style>
  <w:style w:type="paragraph" w:customStyle="1" w:styleId="73">
    <w:name w:val="Char Char Char Char1 Char Char"/>
    <w:basedOn w:val="1"/>
    <w:uiPriority w:val="0"/>
    <w:pPr>
      <w:tabs>
        <w:tab w:val="left" w:pos="360"/>
      </w:tabs>
    </w:pPr>
    <w:rPr>
      <w:sz w:val="24"/>
    </w:rPr>
  </w:style>
  <w:style w:type="paragraph" w:customStyle="1" w:styleId="74">
    <w:name w:val="正文空2格  1."/>
    <w:basedOn w:val="1"/>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75">
    <w:name w:val="Coms Alinea"/>
    <w:uiPriority w:val="0"/>
    <w:pPr>
      <w:widowControl w:val="0"/>
    </w:pPr>
    <w:rPr>
      <w:rFonts w:ascii="Arial" w:hAnsi="Arial" w:eastAsia="宋体" w:cs="Arial"/>
      <w:lang w:val="en-US" w:eastAsia="zh-CN" w:bidi="ar-SA"/>
    </w:rPr>
  </w:style>
  <w:style w:type="paragraph" w:customStyle="1" w:styleId="76">
    <w:name w:val="默认段落字体 Para Char Char Char Char Char Char Char Char Char1 Char Char Char Char Char Char Char"/>
    <w:basedOn w:val="10"/>
    <w:uiPriority w:val="0"/>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2217</Words>
  <Characters>12637</Characters>
  <Lines>105</Lines>
  <Paragraphs>29</Paragraphs>
  <TotalTime>8</TotalTime>
  <ScaleCrop>false</ScaleCrop>
  <LinksUpToDate>false</LinksUpToDate>
  <CharactersWithSpaces>14825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2020-08-11T16:04:00Z</dcterms:created>
  <dc:creator>cgzx</dc:creator>
  <cp:lastModifiedBy>Jchao</cp:lastModifiedBy>
  <cp:lastPrinted>2020-05-28T06:09:00Z</cp:lastPrinted>
  <dcterms:modified xsi:type="dcterms:W3CDTF">2020-08-24T11:05:04Z</dcterms:modified>
  <dc:title>总  目  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